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BE1920" w:rsidP="00E75510" w14:paraId="69AEEB24" w14:textId="14740937">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4252"/>
        <w:gridCol w:w="2268"/>
      </w:tblGrid>
      <w:tr w14:paraId="17085C3B" w14:textId="77777777" w:rsidTr="00643408">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69"/>
        </w:trPr>
        <w:tc>
          <w:tcPr>
            <w:tcW w:w="3545" w:type="dxa"/>
            <w:shd w:val="clear" w:color="auto" w:fill="BFBFBF"/>
            <w:vAlign w:val="center"/>
          </w:tcPr>
          <w:p w:rsidR="00613EC1" w:rsidRPr="00D1305C" w:rsidP="00643408" w14:paraId="5C2E3522" w14:textId="77777777">
            <w:pPr>
              <w:pStyle w:val="Heading2"/>
              <w:jc w:val="center"/>
            </w:pPr>
            <w:r>
              <w:t>Report of</w:t>
            </w:r>
          </w:p>
        </w:tc>
        <w:tc>
          <w:tcPr>
            <w:tcW w:w="4252" w:type="dxa"/>
            <w:shd w:val="clear" w:color="auto" w:fill="BFBFBF"/>
            <w:vAlign w:val="center"/>
          </w:tcPr>
          <w:p w:rsidR="00613EC1" w:rsidRPr="00D1305C" w:rsidP="00643408" w14:paraId="73B94732" w14:textId="0510C8E0">
            <w:pPr>
              <w:pStyle w:val="Heading2"/>
              <w:jc w:val="center"/>
            </w:pPr>
            <w:r>
              <w:t>Meeting</w:t>
            </w:r>
          </w:p>
        </w:tc>
        <w:tc>
          <w:tcPr>
            <w:tcW w:w="2268" w:type="dxa"/>
            <w:shd w:val="clear" w:color="auto" w:fill="BFBFBF"/>
            <w:vAlign w:val="center"/>
          </w:tcPr>
          <w:p w:rsidR="00613EC1" w:rsidRPr="00D1305C" w:rsidP="00643408" w14:paraId="25ED2DF2" w14:textId="77777777">
            <w:pPr>
              <w:pStyle w:val="Heading2"/>
              <w:jc w:val="center"/>
            </w:pPr>
            <w:r>
              <w:t>Date</w:t>
            </w:r>
          </w:p>
        </w:tc>
      </w:tr>
      <w:tr w14:paraId="022D1CCE" w14:textId="77777777" w:rsidTr="00643408">
        <w:tblPrEx>
          <w:tblW w:w="10065" w:type="dxa"/>
          <w:tblLayout w:type="fixed"/>
          <w:tblLook w:val="0000"/>
        </w:tblPrEx>
        <w:trPr>
          <w:cantSplit/>
          <w:trHeight w:val="654"/>
        </w:trPr>
        <w:tc>
          <w:tcPr>
            <w:tcW w:w="3545" w:type="dxa"/>
            <w:tcBorders>
              <w:bottom w:val="single" w:sz="4" w:space="0" w:color="auto"/>
            </w:tcBorders>
            <w:shd w:val="clear" w:color="auto" w:fill="auto"/>
            <w:vAlign w:val="center"/>
          </w:tcPr>
          <w:p w:rsidR="005E7794" w:rsidRPr="007637E9" w:rsidP="00FD3A53" w14:paraId="0CC6DA1E" w14:textId="2F20C972">
            <w:pPr>
              <w:spacing w:after="0"/>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Head of Audit and Risk</w:t>
            </w:r>
          </w:p>
        </w:tc>
        <w:tc>
          <w:tcPr>
            <w:tcW w:w="4252" w:type="dxa"/>
            <w:tcBorders>
              <w:bottom w:val="single" w:sz="4" w:space="0" w:color="auto"/>
            </w:tcBorders>
            <w:shd w:val="clear" w:color="auto" w:fill="auto"/>
            <w:vAlign w:val="center"/>
          </w:tcPr>
          <w:p w:rsidR="00FB3074" w:rsidP="00737971" w14:paraId="25D0C923" w14:textId="71470B0D">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rsidR="00613EC1" w:rsidRPr="00737971" w:rsidP="00737971" w14:paraId="43AA6D97" w14:textId="17DCEB6A">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rsidR="00613EC1" w:rsidRPr="007637E9" w:rsidP="00643408" w14:paraId="7C3B18A3" w14:textId="5F620894">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26 March 2024</w:t>
            </w:r>
            <w:r>
              <w:rPr>
                <w:rFonts w:ascii="Arial" w:eastAsia="Times New Roman" w:hAnsi="Arial" w:cs="Arial"/>
                <w:color w:val="000000" w:themeColor="text1"/>
                <w:kern w:val="36"/>
                <w:lang w:eastAsia="en-GB"/>
              </w:rPr>
              <w:fldChar w:fldCharType="end"/>
            </w:r>
          </w:p>
        </w:tc>
      </w:tr>
    </w:tbl>
    <w:p w:rsidR="00613EC1" w:rsidP="00E75510" w14:paraId="1B98644D" w14:textId="404C901A">
      <w:pPr>
        <w:spacing w:after="0"/>
        <w:rPr>
          <w:rFonts w:ascii="Arial" w:eastAsia="Times New Roman" w:hAnsi="Arial" w:cs="Arial"/>
          <w:b/>
          <w:bCs/>
          <w:noProof/>
          <w:color w:val="000000" w:themeColor="text1"/>
          <w:kern w:val="36"/>
          <w:lang w:eastAsia="en-GB"/>
        </w:rPr>
      </w:pPr>
    </w:p>
    <w:p w:rsidR="00613EC1" w:rsidP="00E75510" w14:paraId="5440FCC7" w14:textId="77777777">
      <w:pPr>
        <w:spacing w:after="0"/>
        <w:rPr>
          <w:rFonts w:ascii="Arial" w:eastAsia="Times New Roman" w:hAnsi="Arial" w:cs="Arial"/>
          <w:b/>
          <w:bCs/>
          <w:noProof/>
          <w:color w:val="000000" w:themeColor="text1"/>
          <w:kern w:val="36"/>
          <w:lang w:eastAsia="en-GB"/>
        </w:rPr>
      </w:pPr>
    </w:p>
    <w:p w:rsidR="00BE1920" w:rsidP="00BE1920" w14:paraId="767FAD6D" w14:textId="77777777">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Internal Audit Plan April to September 2024</w:t>
      </w:r>
      <w:r w:rsidRPr="00883AC9">
        <w:rPr>
          <w:rFonts w:asciiTheme="majorHAnsi" w:hAnsiTheme="majorHAnsi" w:cstheme="majorHAnsi"/>
          <w:sz w:val="28"/>
          <w:szCs w:val="28"/>
        </w:rPr>
        <w:fldChar w:fldCharType="end"/>
      </w:r>
    </w:p>
    <w:p w:rsidR="003E3722" w:rsidP="00E75510" w14:paraId="79B20D0A" w14:textId="26CFE1F7">
      <w:pPr>
        <w:spacing w:after="0"/>
        <w:rPr>
          <w:rFonts w:ascii="Arial" w:eastAsia="Times New Roman" w:hAnsi="Arial" w:cs="Arial"/>
          <w:b/>
          <w:bCs/>
          <w:color w:val="000000" w:themeColor="text1"/>
          <w:kern w:val="36"/>
          <w:lang w:eastAsia="en-GB"/>
        </w:rPr>
      </w:pPr>
    </w:p>
    <w:tbl>
      <w:tblPr>
        <w:tblStyle w:val="TableGrid"/>
        <w:tblW w:w="0" w:type="auto"/>
        <w:tblInd w:w="-5" w:type="dxa"/>
        <w:tblLook w:val="04A0"/>
      </w:tblPr>
      <w:tblGrid>
        <w:gridCol w:w="4508"/>
        <w:gridCol w:w="4508"/>
      </w:tblGrid>
      <w:tr w14:paraId="0AD96D7A" w14:textId="77777777" w:rsidTr="002F1805">
        <w:tblPrEx>
          <w:tblW w:w="0" w:type="auto"/>
          <w:tblInd w:w="-5" w:type="dxa"/>
          <w:tblLook w:val="04A0"/>
        </w:tblPrEx>
        <w:tc>
          <w:tcPr>
            <w:tcW w:w="4508" w:type="dxa"/>
          </w:tcPr>
          <w:p w:rsidR="00E75510" w:rsidRPr="00E75510" w:rsidP="00E75510" w14:paraId="74BA9174" w14:textId="377462C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rsidR="00E75510" w:rsidRPr="00E75510" w:rsidP="00284855" w14:paraId="0A0DED49" w14:textId="53B2E8A8">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rsidR="00E75510" w:rsidRPr="00E75510" w:rsidP="00284855" w14:paraId="346B138A" w14:textId="16AB0B96">
            <w:pPr>
              <w:pStyle w:val="Heading1"/>
              <w:spacing w:before="0" w:beforeAutospacing="0" w:after="0" w:afterAutospacing="0"/>
              <w:rPr>
                <w:rFonts w:asciiTheme="minorHAnsi" w:hAnsiTheme="minorHAnsi" w:cstheme="minorHAnsi"/>
                <w:sz w:val="22"/>
                <w:szCs w:val="22"/>
              </w:rPr>
            </w:pPr>
          </w:p>
        </w:tc>
      </w:tr>
    </w:tbl>
    <w:p w:rsidR="00CD4005" w:rsidP="006B62C4" w14:paraId="6EB32C55" w14:textId="221BAAAC">
      <w:pPr>
        <w:spacing w:after="0"/>
      </w:pPr>
    </w:p>
    <w:p w:rsidR="00E75510" w:rsidP="006B62C4" w14:paraId="2378F936" w14:textId="77777777">
      <w:pPr>
        <w:spacing w:after="0"/>
      </w:pPr>
    </w:p>
    <w:p w:rsidR="00D1305C" w:rsidP="006B62C4" w14:paraId="6022D43D" w14:textId="0831C57B">
      <w:pPr>
        <w:pStyle w:val="Heading2"/>
      </w:pPr>
      <w:r w:rsidRPr="007637E9">
        <w:t>Purpose of the Report</w:t>
      </w:r>
    </w:p>
    <w:p w:rsidR="003F64E2" w:rsidRPr="002F1805" w:rsidP="006B62C4" w14:paraId="7871BEC5" w14:textId="77777777">
      <w:pPr>
        <w:spacing w:after="0"/>
      </w:pPr>
    </w:p>
    <w:p w:rsidR="003F64E2" w:rsidRPr="007637E9" w:rsidP="002F1805" w14:paraId="0A44B072" w14:textId="77777777">
      <w:pPr>
        <w:pStyle w:val="Heading2"/>
        <w:rPr>
          <w:rFonts w:asciiTheme="majorHAnsi" w:hAnsiTheme="majorHAnsi" w:cstheme="majorHAnsi"/>
          <w:sz w:val="2"/>
          <w:szCs w:val="14"/>
        </w:rPr>
      </w:pPr>
    </w:p>
    <w:p w:rsidR="00FD3A53" w:rsidP="00FD3A53" w14:paraId="17D2595E" w14:textId="77777777">
      <w:pPr>
        <w:pStyle w:val="ListParagraph"/>
        <w:numPr>
          <w:ilvl w:val="0"/>
          <w:numId w:val="18"/>
        </w:numPr>
        <w:pBdr>
          <w:top w:val="single" w:sz="2" w:space="1" w:color="FFFFFF"/>
          <w:left w:val="single" w:sz="2" w:space="0" w:color="FFFFFF"/>
          <w:bottom w:val="single" w:sz="2" w:space="2" w:color="FFFFFF"/>
          <w:right w:val="single" w:sz="2" w:space="4" w:color="FFFFFF"/>
        </w:pBdr>
        <w:ind w:left="567" w:right="141" w:hanging="709"/>
        <w:jc w:val="both"/>
      </w:pPr>
      <w:r>
        <w:t xml:space="preserve">This report sets out the programme of work to be undertaken by the Internal Audit Service.  The Internal Audit Plan is the vehicle by which audit workload is identified and prioritised.    </w:t>
      </w:r>
    </w:p>
    <w:p w:rsidR="00FD3A53" w:rsidP="00FD3A53" w14:paraId="7BBB26B7" w14:textId="77777777">
      <w:pPr>
        <w:pBdr>
          <w:top w:val="single" w:sz="2" w:space="0" w:color="FFFFFF"/>
          <w:left w:val="single" w:sz="2" w:space="0" w:color="FFFFFF"/>
          <w:bottom w:val="single" w:sz="2" w:space="2" w:color="FFFFFF"/>
          <w:right w:val="single" w:sz="2" w:space="4" w:color="FFFFFF"/>
        </w:pBdr>
        <w:ind w:left="142" w:firstLine="425"/>
        <w:jc w:val="both"/>
      </w:pPr>
      <w:r>
        <w:t>The main purposes of the report are to:</w:t>
      </w:r>
    </w:p>
    <w:p w:rsidR="00FD3A53" w:rsidP="00FD3A53" w14:paraId="55C923D4" w14:textId="77777777">
      <w:pPr>
        <w:numPr>
          <w:ilvl w:val="0"/>
          <w:numId w:val="16"/>
        </w:numPr>
        <w:pBdr>
          <w:top w:val="single" w:sz="2" w:space="0" w:color="FFFFFF"/>
          <w:left w:val="single" w:sz="2" w:space="0" w:color="FFFFFF"/>
          <w:bottom w:val="single" w:sz="2" w:space="2" w:color="FFFFFF"/>
          <w:right w:val="single" w:sz="2" w:space="4" w:color="FFFFFF"/>
        </w:pBdr>
        <w:spacing w:after="0" w:line="240" w:lineRule="auto"/>
        <w:jc w:val="both"/>
      </w:pPr>
      <w:r>
        <w:t>Remind members of the respective roles of managers and Internal Audit to maintain a sound system of governance and internal control within the Council;</w:t>
      </w:r>
    </w:p>
    <w:p w:rsidR="00FD3A53" w:rsidRPr="00A42F8D" w:rsidP="00FD3A53" w14:paraId="207064D8" w14:textId="77777777">
      <w:pPr>
        <w:numPr>
          <w:ilvl w:val="0"/>
          <w:numId w:val="17"/>
        </w:numPr>
        <w:pBdr>
          <w:top w:val="single" w:sz="2" w:space="0" w:color="FFFFFF"/>
          <w:left w:val="single" w:sz="2" w:space="0" w:color="FFFFFF"/>
          <w:bottom w:val="single" w:sz="2" w:space="2" w:color="FFFFFF"/>
          <w:right w:val="single" w:sz="2" w:space="4" w:color="FFFFFF"/>
        </w:pBdr>
        <w:spacing w:after="0" w:line="240" w:lineRule="auto"/>
        <w:jc w:val="both"/>
      </w:pPr>
      <w:r>
        <w:t>Provide details of the Internal Audit Plan and associated performance indicators;</w:t>
      </w:r>
    </w:p>
    <w:p w:rsidR="008C37E1" w:rsidP="008C37E1" w14:paraId="4D3FB65E" w14:textId="2044152F">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8874"/>
        <w:gridCol w:w="142"/>
      </w:tblGrid>
      <w:tr w14:paraId="49565DB1" w14:textId="77777777" w:rsidTr="006B62C4">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2" w:type="dxa"/>
        </w:trPr>
        <w:tc>
          <w:tcPr>
            <w:tcW w:w="9016" w:type="dxa"/>
            <w:gridSpan w:val="2"/>
          </w:tcPr>
          <w:p w:rsidR="008C37E1" w:rsidP="006B62C4" w14:paraId="1A2F0848" w14:textId="70F07B58">
            <w:pPr>
              <w:pStyle w:val="Heading2"/>
            </w:pPr>
            <w:r w:rsidRPr="00A67766">
              <w:t>Recommendations</w:t>
            </w:r>
          </w:p>
          <w:p w:rsidR="008C37E1" w:rsidP="006B62C4" w14:paraId="68D8342C" w14:textId="77777777"/>
        </w:tc>
      </w:tr>
      <w:tr w14:paraId="0A492511" w14:textId="77777777" w:rsidTr="006B62C4">
        <w:tblPrEx>
          <w:tblW w:w="0" w:type="auto"/>
          <w:tblInd w:w="-142" w:type="dxa"/>
          <w:tblLook w:val="04A0"/>
        </w:tblPrEx>
        <w:trPr>
          <w:gridBefore w:val="1"/>
          <w:wBefore w:w="142" w:type="dxa"/>
        </w:trPr>
        <w:tc>
          <w:tcPr>
            <w:tcW w:w="9016" w:type="dxa"/>
            <w:gridSpan w:val="2"/>
          </w:tcPr>
          <w:p w:rsidR="00FD3A53" w:rsidP="00FD3A53" w14:paraId="625DD6C7" w14:textId="77777777">
            <w:pPr>
              <w:numPr>
                <w:ilvl w:val="0"/>
                <w:numId w:val="9"/>
              </w:numPr>
              <w:ind w:left="605" w:hanging="605"/>
              <w:jc w:val="both"/>
              <w:rPr>
                <w:rFonts w:cstheme="minorHAnsi"/>
                <w:bCs/>
                <w:iCs/>
              </w:rPr>
            </w:pPr>
            <w:r w:rsidRPr="000A081E">
              <w:rPr>
                <w:rFonts w:cstheme="minorHAnsi"/>
                <w:bCs/>
                <w:iCs/>
              </w:rPr>
              <w:t>That the Committee approve the Internal Audit Plan</w:t>
            </w:r>
            <w:r>
              <w:rPr>
                <w:rFonts w:cstheme="minorHAnsi"/>
                <w:bCs/>
                <w:iCs/>
              </w:rPr>
              <w:t xml:space="preserve"> and associated indicators.</w:t>
            </w:r>
          </w:p>
          <w:p w:rsidR="00E10BF8" w:rsidRPr="00E10BF8" w:rsidP="00FD3A53" w14:paraId="115523C0" w14:textId="18AC99D6">
            <w:pPr>
              <w:ind w:left="459"/>
              <w:rPr>
                <w:rFonts w:cstheme="minorHAnsi"/>
                <w:bCs/>
                <w:iCs/>
              </w:rPr>
            </w:pPr>
          </w:p>
        </w:tc>
      </w:tr>
      <w:tr w14:paraId="585B682B" w14:textId="77777777" w:rsidTr="006B62C4">
        <w:tblPrEx>
          <w:tblW w:w="0" w:type="auto"/>
          <w:tblInd w:w="-142" w:type="dxa"/>
          <w:tblLook w:val="04A0"/>
        </w:tblPrEx>
        <w:trPr>
          <w:gridBefore w:val="1"/>
          <w:wBefore w:w="142" w:type="dxa"/>
        </w:trPr>
        <w:tc>
          <w:tcPr>
            <w:tcW w:w="9016" w:type="dxa"/>
            <w:gridSpan w:val="2"/>
          </w:tcPr>
          <w:p w:rsidR="00E963B8" w:rsidRPr="00E811D7" w:rsidP="00E963B8" w14:paraId="6B2DD543" w14:textId="77777777">
            <w:pPr>
              <w:rPr>
                <w:rFonts w:cstheme="minorHAnsi"/>
                <w:bCs/>
                <w:iCs/>
              </w:rPr>
            </w:pPr>
          </w:p>
        </w:tc>
      </w:tr>
      <w:tr w14:paraId="78D929ED" w14:textId="77777777" w:rsidTr="00E709F7">
        <w:tblPrEx>
          <w:tblW w:w="0" w:type="auto"/>
          <w:tblInd w:w="-142" w:type="dxa"/>
          <w:tblLook w:val="04A0"/>
        </w:tblPrEx>
        <w:trPr>
          <w:gridAfter w:val="1"/>
          <w:wAfter w:w="142" w:type="dxa"/>
        </w:trPr>
        <w:tc>
          <w:tcPr>
            <w:tcW w:w="9016" w:type="dxa"/>
            <w:gridSpan w:val="2"/>
          </w:tcPr>
          <w:p w:rsidR="00E10BF8" w:rsidP="00E709F7" w14:paraId="1CA7264F" w14:textId="77777777">
            <w:pPr>
              <w:pStyle w:val="Heading2"/>
            </w:pPr>
            <w:r w:rsidRPr="00613EC1">
              <w:t>Reasons for recommendations</w:t>
            </w:r>
          </w:p>
          <w:p w:rsidR="00E10BF8" w:rsidP="00E709F7" w14:paraId="3F569D31" w14:textId="77777777"/>
        </w:tc>
      </w:tr>
      <w:tr w14:paraId="765A3A56" w14:textId="77777777" w:rsidTr="00E709F7">
        <w:tblPrEx>
          <w:tblW w:w="0" w:type="auto"/>
          <w:tblInd w:w="-142" w:type="dxa"/>
          <w:tblLook w:val="04A0"/>
        </w:tblPrEx>
        <w:trPr>
          <w:gridBefore w:val="1"/>
          <w:wBefore w:w="142" w:type="dxa"/>
        </w:trPr>
        <w:tc>
          <w:tcPr>
            <w:tcW w:w="9016" w:type="dxa"/>
            <w:gridSpan w:val="2"/>
          </w:tcPr>
          <w:p w:rsidR="00FD3A53" w:rsidP="00FD3A53" w14:paraId="27022B54" w14:textId="77777777">
            <w:pPr>
              <w:pStyle w:val="ListParagraph"/>
              <w:numPr>
                <w:ilvl w:val="0"/>
                <w:numId w:val="9"/>
              </w:numPr>
              <w:spacing w:after="0" w:line="240" w:lineRule="auto"/>
              <w:ind w:hanging="720"/>
            </w:pPr>
            <w:r>
              <w:t>Governance Committee approval of the Internal Audit Plan is a requirement of the Public Sector Internal Audit Standards.</w:t>
            </w:r>
          </w:p>
          <w:p w:rsidR="00E10BF8" w:rsidRPr="00E963B8" w:rsidP="00FD3A53" w14:paraId="296DDA3E" w14:textId="5510D3DB">
            <w:pPr>
              <w:pStyle w:val="ListParagraph"/>
              <w:spacing w:after="0" w:line="240" w:lineRule="auto"/>
              <w:ind w:left="602"/>
              <w:jc w:val="both"/>
              <w:rPr>
                <w:rFonts w:cstheme="minorHAnsi"/>
                <w:bCs/>
                <w:iCs/>
              </w:rPr>
            </w:pPr>
          </w:p>
        </w:tc>
      </w:tr>
    </w:tbl>
    <w:p w:rsidR="00E10BF8" w:rsidP="008C37E1" w14:paraId="13F3DAAC" w14:textId="59513692">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8874"/>
        <w:gridCol w:w="142"/>
      </w:tblGrid>
      <w:tr w14:paraId="6C4B6455" w14:textId="77777777" w:rsidTr="002F4B61">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2" w:type="dxa"/>
        </w:trPr>
        <w:tc>
          <w:tcPr>
            <w:tcW w:w="9016" w:type="dxa"/>
            <w:gridSpan w:val="2"/>
          </w:tcPr>
          <w:p w:rsidR="00E10BF8" w:rsidP="002F4B61" w14:paraId="3D6705DE" w14:textId="77777777">
            <w:pPr>
              <w:pStyle w:val="Heading2"/>
            </w:pPr>
            <w:r w:rsidRPr="00613EC1">
              <w:t>Other options considered and rejected</w:t>
            </w:r>
          </w:p>
          <w:p w:rsidR="00E10BF8" w:rsidP="002F4B61" w14:paraId="5DA05E38" w14:textId="460EB5F3"/>
        </w:tc>
      </w:tr>
      <w:tr w14:paraId="0C9ABC90" w14:textId="77777777" w:rsidTr="002F4B61">
        <w:tblPrEx>
          <w:tblW w:w="0" w:type="auto"/>
          <w:tblInd w:w="-142" w:type="dxa"/>
          <w:tblLook w:val="04A0"/>
        </w:tblPrEx>
        <w:trPr>
          <w:gridBefore w:val="1"/>
          <w:wBefore w:w="142" w:type="dxa"/>
        </w:trPr>
        <w:tc>
          <w:tcPr>
            <w:tcW w:w="9016" w:type="dxa"/>
            <w:gridSpan w:val="2"/>
          </w:tcPr>
          <w:p w:rsidR="00E10BF8" w:rsidRPr="00E10BF8" w:rsidP="006F27C3" w14:paraId="2354F07D" w14:textId="33CB922D">
            <w:pPr>
              <w:numPr>
                <w:ilvl w:val="0"/>
                <w:numId w:val="10"/>
              </w:numPr>
              <w:ind w:left="602" w:hanging="709"/>
              <w:jc w:val="both"/>
              <w:rPr>
                <w:rFonts w:cstheme="minorHAnsi"/>
                <w:bCs/>
                <w:iCs/>
              </w:rPr>
            </w:pPr>
            <w:r>
              <w:rPr>
                <w:rFonts w:cstheme="minorHAnsi"/>
                <w:bCs/>
                <w:iCs/>
              </w:rPr>
              <w:t xml:space="preserve">Not applicable. </w:t>
            </w:r>
          </w:p>
        </w:tc>
      </w:tr>
    </w:tbl>
    <w:p w:rsidR="00D1305C" w:rsidRPr="002F1805" w:rsidP="002F1805" w14:paraId="6EC42FAA" w14:textId="77777777">
      <w:pPr>
        <w:spacing w:after="0" w:line="240" w:lineRule="auto"/>
        <w:jc w:val="both"/>
        <w:rPr>
          <w:rFonts w:cstheme="minorHAnsi"/>
          <w:bCs/>
          <w:iCs/>
        </w:rPr>
      </w:pPr>
    </w:p>
    <w:p w:rsidR="00D1305C" w:rsidRPr="002F1805" w:rsidP="002F1805" w14:paraId="42ABB806" w14:textId="77777777">
      <w:pPr>
        <w:spacing w:after="0" w:line="240" w:lineRule="auto"/>
        <w:jc w:val="both"/>
        <w:rPr>
          <w:rFonts w:cstheme="minorHAnsi"/>
          <w:bCs/>
        </w:rPr>
      </w:pPr>
    </w:p>
    <w:p w:rsidR="00D1305C" w:rsidRPr="008C37E1" w:rsidP="002F4B61" w14:paraId="50BF898F" w14:textId="79EA4E98">
      <w:pPr>
        <w:pStyle w:val="Heading2"/>
      </w:pPr>
      <w:r w:rsidRPr="008C37E1">
        <w:t xml:space="preserve">Corporate </w:t>
      </w:r>
      <w:r w:rsidRPr="008C37E1" w:rsidR="003E3722">
        <w:t>priorities</w:t>
      </w:r>
    </w:p>
    <w:p w:rsidR="002F1805" w:rsidRPr="002F1805" w:rsidP="002F4B61" w14:paraId="2CD603A6" w14:textId="77777777">
      <w:pPr>
        <w:spacing w:after="0"/>
      </w:pPr>
    </w:p>
    <w:p w:rsidR="00D1305C" w:rsidRPr="00CD4005" w:rsidP="00E10BF8" w14:paraId="5F0D0272" w14:textId="7E359EDC">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Pr="00CD4005" w:rsidR="007637E9">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rsidR="00D1305C" w:rsidRPr="002F1805" w:rsidP="002F1805" w14:paraId="1123C4E8" w14:textId="77777777">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7"/>
        <w:gridCol w:w="4678"/>
      </w:tblGrid>
      <w:tr w14:paraId="6ADAB65E" w14:textId="77777777" w:rsidTr="009A018E">
        <w:tblPrEx>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707" w:type="dxa"/>
          </w:tcPr>
          <w:p w:rsidR="008F13BA" w:rsidRPr="00FD3A53" w:rsidP="00804F02" w14:paraId="2DBEC97A" w14:textId="2DD93C0C">
            <w:pPr>
              <w:tabs>
                <w:tab w:val="left" w:pos="567"/>
              </w:tabs>
              <w:jc w:val="center"/>
              <w:rPr>
                <w:b/>
                <w:bCs/>
              </w:rPr>
            </w:pPr>
            <w:r w:rsidRPr="00FD3A53">
              <w:rPr>
                <w:rFonts w:ascii="Arial" w:hAnsi="Arial" w:cs="Arial"/>
                <w:b/>
                <w:bCs/>
              </w:rPr>
              <w:t>An exemplary council</w:t>
            </w:r>
          </w:p>
        </w:tc>
        <w:tc>
          <w:tcPr>
            <w:tcW w:w="4678" w:type="dxa"/>
          </w:tcPr>
          <w:p w:rsidR="008F13BA" w:rsidRPr="00B85F3A" w:rsidP="00804F02" w14:paraId="4FADAC6E" w14:textId="591B9E21">
            <w:pPr>
              <w:tabs>
                <w:tab w:val="left" w:pos="567"/>
              </w:tabs>
              <w:jc w:val="center"/>
            </w:pPr>
            <w:r>
              <w:rPr>
                <w:rFonts w:ascii="Arial" w:hAnsi="Arial" w:cs="Arial"/>
              </w:rPr>
              <w:t>Healthy and happy</w:t>
            </w:r>
            <w:r w:rsidR="00804F02">
              <w:rPr>
                <w:rFonts w:ascii="Arial" w:hAnsi="Arial" w:cs="Arial"/>
              </w:rPr>
              <w:t xml:space="preserve"> communities</w:t>
            </w:r>
          </w:p>
        </w:tc>
      </w:tr>
      <w:tr w14:paraId="1E03E666" w14:textId="77777777" w:rsidTr="009A018E">
        <w:tblPrEx>
          <w:tblW w:w="9385" w:type="dxa"/>
          <w:tblInd w:w="-34" w:type="dxa"/>
          <w:tblLayout w:type="fixed"/>
          <w:tblLook w:val="0000"/>
        </w:tblPrEx>
        <w:tc>
          <w:tcPr>
            <w:tcW w:w="4707" w:type="dxa"/>
          </w:tcPr>
          <w:p w:rsidR="008F13BA" w:rsidRPr="00B85F3A" w:rsidP="009A018E" w14:paraId="63931B2C" w14:textId="79C51909">
            <w:pPr>
              <w:tabs>
                <w:tab w:val="left" w:pos="567"/>
              </w:tabs>
              <w:spacing w:after="0"/>
              <w:jc w:val="center"/>
            </w:pPr>
            <w:r>
              <w:rPr>
                <w:rFonts w:ascii="Arial" w:hAnsi="Arial" w:cs="Arial"/>
              </w:rPr>
              <w:t>Opportunities</w:t>
            </w:r>
            <w:r w:rsidR="009A018E">
              <w:rPr>
                <w:rFonts w:ascii="Arial" w:hAnsi="Arial" w:cs="Arial"/>
              </w:rPr>
              <w:t xml:space="preserve"> for everyone</w:t>
            </w:r>
          </w:p>
        </w:tc>
        <w:tc>
          <w:tcPr>
            <w:tcW w:w="4678" w:type="dxa"/>
          </w:tcPr>
          <w:p w:rsidR="008F13BA" w:rsidRPr="00B85F3A" w:rsidP="00804F02" w14:paraId="46CCFE25" w14:textId="38C4BECA">
            <w:pPr>
              <w:autoSpaceDE w:val="0"/>
              <w:autoSpaceDN w:val="0"/>
              <w:adjustRightInd w:val="0"/>
              <w:spacing w:after="0"/>
              <w:jc w:val="center"/>
            </w:pPr>
            <w:r>
              <w:rPr>
                <w:rFonts w:ascii="Arial" w:hAnsi="Arial" w:cs="Arial"/>
              </w:rPr>
              <w:t>G</w:t>
            </w:r>
            <w:r w:rsidR="0073542D">
              <w:rPr>
                <w:rFonts w:ascii="Arial" w:hAnsi="Arial" w:cs="Arial"/>
              </w:rPr>
              <w:t>reen and clean neighbourhood</w:t>
            </w:r>
          </w:p>
        </w:tc>
      </w:tr>
    </w:tbl>
    <w:p w:rsidR="00D1305C" w:rsidRPr="00D4431F" w:rsidP="002F1805" w14:paraId="7E4A9580" w14:textId="77777777">
      <w:pPr>
        <w:spacing w:after="0" w:line="240" w:lineRule="auto"/>
        <w:jc w:val="both"/>
        <w:rPr>
          <w:rFonts w:cstheme="minorHAnsi"/>
          <w:bCs/>
        </w:rPr>
      </w:pPr>
    </w:p>
    <w:p w:rsidR="00FD3A53" w:rsidP="00FD3A53" w14:paraId="2972579B" w14:textId="77777777">
      <w:pPr>
        <w:pBdr>
          <w:top w:val="single" w:sz="2" w:space="1" w:color="FFFFFF"/>
          <w:left w:val="single" w:sz="2" w:space="0" w:color="FFFFFF"/>
          <w:bottom w:val="single" w:sz="2" w:space="2" w:color="FFFFFF"/>
          <w:right w:val="single" w:sz="2" w:space="4" w:color="FFFFFF"/>
        </w:pBdr>
        <w:ind w:right="141"/>
        <w:rPr>
          <w:b/>
        </w:rPr>
      </w:pPr>
      <w:r>
        <w:rPr>
          <w:b/>
        </w:rPr>
        <w:t xml:space="preserve">The Role of Management and Internal Audit  </w:t>
      </w:r>
    </w:p>
    <w:p w:rsidR="00FD3A53" w:rsidP="00FD3A53" w14:paraId="2297A5C9" w14:textId="77777777">
      <w:pPr>
        <w:pStyle w:val="ListParagraph"/>
        <w:numPr>
          <w:ilvl w:val="0"/>
          <w:numId w:val="20"/>
        </w:numPr>
        <w:pBdr>
          <w:top w:val="single" w:sz="2" w:space="1" w:color="FFFFFF"/>
          <w:left w:val="single" w:sz="2" w:space="0" w:color="FFFFFF"/>
          <w:bottom w:val="single" w:sz="2" w:space="2" w:color="FFFFFF"/>
          <w:right w:val="single" w:sz="2" w:space="4" w:color="FFFFFF"/>
        </w:pBdr>
        <w:ind w:left="709" w:right="141" w:hanging="709"/>
      </w:pPr>
      <w:r>
        <w:t>The responsibility for implementing a strong system of governance and internal control within the Council lies primarily with the Shared Senior Management Team. Directors and Heads of Service need to ensure that they maintain effective control procedures not least because services and business systems are subject to on-going change.</w:t>
      </w:r>
    </w:p>
    <w:p w:rsidR="00FD3A53" w:rsidP="00FD3A53" w14:paraId="2EBFC6A5" w14:textId="77777777">
      <w:pPr>
        <w:pStyle w:val="ListParagraph"/>
        <w:pBdr>
          <w:top w:val="single" w:sz="2" w:space="1" w:color="FFFFFF"/>
          <w:left w:val="single" w:sz="2" w:space="0" w:color="FFFFFF"/>
          <w:bottom w:val="single" w:sz="2" w:space="2" w:color="FFFFFF"/>
          <w:right w:val="single" w:sz="2" w:space="4" w:color="FFFFFF"/>
        </w:pBdr>
        <w:ind w:left="502" w:right="141"/>
      </w:pPr>
    </w:p>
    <w:p w:rsidR="00FD3A53" w:rsidP="00FD3A53" w14:paraId="0E346B61" w14:textId="77777777">
      <w:pPr>
        <w:pStyle w:val="ListParagraph"/>
        <w:numPr>
          <w:ilvl w:val="0"/>
          <w:numId w:val="20"/>
        </w:numPr>
        <w:pBdr>
          <w:top w:val="single" w:sz="2" w:space="1" w:color="FFFFFF"/>
          <w:left w:val="single" w:sz="2" w:space="0" w:color="FFFFFF"/>
          <w:bottom w:val="single" w:sz="2" w:space="2" w:color="FFFFFF"/>
          <w:right w:val="single" w:sz="2" w:space="4" w:color="FFFFFF"/>
        </w:pBdr>
        <w:ind w:left="709" w:right="141" w:hanging="709"/>
      </w:pPr>
      <w:r>
        <w:t>Internal Audit is an independent appraisal function whose core objective is to evaluate and report on the adequacy of the Council’s system of governance, risk management and internal control. In the main this is achieved through an annual programme of reviews, following a detailed risk assessment of audit need.</w:t>
      </w:r>
    </w:p>
    <w:p w:rsidR="00FD3A53" w:rsidP="00FD3A53" w14:paraId="0C082E00" w14:textId="77777777">
      <w:pPr>
        <w:pStyle w:val="ListParagraph"/>
      </w:pPr>
    </w:p>
    <w:p w:rsidR="00FD3A53" w:rsidP="00FD3A53" w14:paraId="30D96D99" w14:textId="77777777">
      <w:pPr>
        <w:pBdr>
          <w:top w:val="single" w:sz="2" w:space="1" w:color="FFFFFF"/>
          <w:left w:val="single" w:sz="2" w:space="0" w:color="FFFFFF"/>
          <w:bottom w:val="single" w:sz="2" w:space="2" w:color="FFFFFF"/>
          <w:right w:val="single" w:sz="2" w:space="4" w:color="FFFFFF"/>
        </w:pBdr>
        <w:ind w:right="141"/>
        <w:rPr>
          <w:color w:val="000000"/>
          <w:sz w:val="24"/>
          <w:szCs w:val="24"/>
        </w:rPr>
      </w:pPr>
      <w:r>
        <w:rPr>
          <w:b/>
        </w:rPr>
        <w:t xml:space="preserve">Development of the Internal </w:t>
      </w:r>
      <w:r w:rsidRPr="00F70D72">
        <w:rPr>
          <w:b/>
        </w:rPr>
        <w:t>Audit Plan</w:t>
      </w:r>
      <w:r w:rsidRPr="00711FAB">
        <w:rPr>
          <w:color w:val="000000"/>
          <w:sz w:val="24"/>
          <w:szCs w:val="24"/>
        </w:rPr>
        <w:t xml:space="preserve"> </w:t>
      </w:r>
    </w:p>
    <w:p w:rsidR="00FD3A53" w:rsidP="00FD3A53" w14:paraId="204E57E2" w14:textId="77777777">
      <w:pPr>
        <w:pStyle w:val="ListParagraph"/>
        <w:spacing w:line="256" w:lineRule="auto"/>
        <w:ind w:left="360"/>
      </w:pPr>
    </w:p>
    <w:p w:rsidR="00FD3A53" w:rsidP="00FD3A53" w14:paraId="788E2FA5" w14:textId="77777777">
      <w:pPr>
        <w:pStyle w:val="ListParagraph"/>
        <w:numPr>
          <w:ilvl w:val="0"/>
          <w:numId w:val="20"/>
        </w:numPr>
        <w:ind w:left="709" w:hanging="709"/>
      </w:pPr>
      <w:r>
        <w:t>Professional standards for Internal Audit in local government specify that “the Chief Audit Executive must establish risk-based plans to determine the priorities of the internal audit activity, consistent with the organisation’s goals.”</w:t>
      </w:r>
    </w:p>
    <w:p w:rsidR="00FD3A53" w:rsidP="00FD3A53" w14:paraId="01C6D624" w14:textId="77777777">
      <w:pPr>
        <w:pStyle w:val="ListParagraph"/>
        <w:ind w:left="360"/>
      </w:pPr>
      <w:r>
        <w:t xml:space="preserve">.  </w:t>
      </w:r>
    </w:p>
    <w:p w:rsidR="00FD3A53" w:rsidRPr="00BF2405" w:rsidP="00FD3A53" w14:paraId="4411C6AB" w14:textId="69E0A789">
      <w:pPr>
        <w:pStyle w:val="ListParagraph"/>
        <w:numPr>
          <w:ilvl w:val="0"/>
          <w:numId w:val="20"/>
        </w:numPr>
        <w:spacing w:line="240" w:lineRule="auto"/>
        <w:ind w:left="709" w:hanging="709"/>
        <w:rPr>
          <w:color w:val="000000"/>
        </w:rPr>
      </w:pPr>
      <w:r w:rsidRPr="00BF2405">
        <w:rPr>
          <w:color w:val="000000"/>
        </w:rPr>
        <w:t xml:space="preserve">To enable Internal Audit to be flexible and responsive </w:t>
      </w:r>
      <w:r w:rsidRPr="00BF2405">
        <w:t xml:space="preserve">to ongoing changes in priorities, strategy, operational </w:t>
      </w:r>
      <w:r w:rsidRPr="00BF2405" w:rsidR="00593743">
        <w:t>arrangements, external</w:t>
      </w:r>
      <w:r w:rsidRPr="00BF2405">
        <w:t xml:space="preserve"> factors that may increase the Council’s exposure to risk</w:t>
      </w:r>
      <w:r w:rsidRPr="00BF2405">
        <w:rPr>
          <w:color w:val="000000"/>
        </w:rPr>
        <w:t xml:space="preserve"> and keep pace with to emerging risks across the organisation, it has been previously agreed with the Governance Committee that Internal Audit Plan is only developed for April to September. The process is then to revisit the audit needs analysis and to liaise with key stakeholders to consider any new and emerging risks to identify the work plan for October to March 2</w:t>
      </w:r>
      <w:r w:rsidR="0094183B">
        <w:rPr>
          <w:color w:val="000000"/>
        </w:rPr>
        <w:t>5</w:t>
      </w:r>
      <w:r w:rsidRPr="00BF2405">
        <w:rPr>
          <w:color w:val="000000"/>
        </w:rPr>
        <w:t xml:space="preserve">.  </w:t>
      </w:r>
    </w:p>
    <w:p w:rsidR="00FD3A53" w:rsidP="00FD3A53" w14:paraId="78FF72AD" w14:textId="77777777">
      <w:pPr>
        <w:pStyle w:val="ListParagraph"/>
        <w:rPr>
          <w:color w:val="000000"/>
          <w:sz w:val="23"/>
          <w:szCs w:val="23"/>
        </w:rPr>
      </w:pPr>
    </w:p>
    <w:p w:rsidR="00FD3A53" w:rsidP="00FD3A53" w14:paraId="7ADF3E8C" w14:textId="77777777">
      <w:pPr>
        <w:rPr>
          <w:rFonts w:ascii="Arial" w:hAnsi="Arial" w:cs="Arial"/>
          <w:b/>
          <w:bCs/>
          <w:color w:val="000000"/>
          <w:sz w:val="23"/>
          <w:szCs w:val="23"/>
        </w:rPr>
      </w:pPr>
      <w:r>
        <w:rPr>
          <w:rFonts w:ascii="Arial" w:hAnsi="Arial" w:cs="Arial"/>
          <w:b/>
          <w:bCs/>
          <w:color w:val="000000"/>
          <w:sz w:val="23"/>
          <w:szCs w:val="23"/>
        </w:rPr>
        <w:t>C</w:t>
      </w:r>
      <w:r w:rsidRPr="00336107">
        <w:rPr>
          <w:rFonts w:ascii="Arial" w:hAnsi="Arial" w:cs="Arial"/>
          <w:b/>
          <w:bCs/>
          <w:color w:val="000000"/>
          <w:sz w:val="23"/>
          <w:szCs w:val="23"/>
        </w:rPr>
        <w:t>ompilation of the Audit Plan</w:t>
      </w:r>
    </w:p>
    <w:p w:rsidR="00FD3A53" w:rsidRPr="00300B54" w:rsidP="00FD3A53" w14:paraId="616F69AF" w14:textId="77777777">
      <w:pPr>
        <w:pStyle w:val="ListParagraph"/>
        <w:numPr>
          <w:ilvl w:val="0"/>
          <w:numId w:val="20"/>
        </w:numPr>
        <w:pBdr>
          <w:top w:val="single" w:sz="2" w:space="1" w:color="FFFFFF"/>
          <w:left w:val="single" w:sz="2" w:space="0" w:color="FFFFFF"/>
          <w:bottom w:val="single" w:sz="2" w:space="2" w:color="FFFFFF"/>
          <w:right w:val="single" w:sz="2" w:space="4" w:color="FFFFFF"/>
        </w:pBdr>
        <w:spacing w:line="240" w:lineRule="auto"/>
        <w:ind w:left="709" w:right="142" w:hanging="709"/>
        <w:jc w:val="both"/>
      </w:pPr>
      <w:r w:rsidRPr="000F750D">
        <w:t>T</w:t>
      </w:r>
      <w:r w:rsidRPr="000A081E">
        <w:rPr>
          <w:bCs/>
        </w:rPr>
        <w:t xml:space="preserve">he </w:t>
      </w:r>
      <w:r>
        <w:rPr>
          <w:bCs/>
        </w:rPr>
        <w:t>Internal Audit Plan April – September has been constructed after taking into consideration the following:</w:t>
      </w:r>
    </w:p>
    <w:p w:rsidR="00FD3A53" w:rsidRPr="00300B54" w:rsidP="00FD3A53" w14:paraId="0A363CEA" w14:textId="77777777">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rsidR="00FD3A53" w:rsidP="00FD3A53" w14:paraId="5DCB846B" w14:textId="77777777">
      <w:pPr>
        <w:pStyle w:val="ListParagraph"/>
        <w:numPr>
          <w:ilvl w:val="0"/>
          <w:numId w:val="19"/>
        </w:numPr>
      </w:pPr>
      <w:r>
        <w:t xml:space="preserve">The Council’s priorities / strategic plan; </w:t>
      </w:r>
    </w:p>
    <w:p w:rsidR="00FD3A53" w:rsidP="00FD3A53" w14:paraId="63A3EB8A" w14:textId="77777777">
      <w:pPr>
        <w:pStyle w:val="ListParagraph"/>
        <w:numPr>
          <w:ilvl w:val="0"/>
          <w:numId w:val="19"/>
        </w:numPr>
      </w:pPr>
      <w:r>
        <w:t xml:space="preserve">A review of corporate strategies; </w:t>
      </w:r>
    </w:p>
    <w:p w:rsidR="00FD3A53" w:rsidP="00FD3A53" w14:paraId="228FF1D7" w14:textId="77777777">
      <w:pPr>
        <w:pStyle w:val="ListParagraph"/>
        <w:numPr>
          <w:ilvl w:val="0"/>
          <w:numId w:val="19"/>
        </w:numPr>
      </w:pPr>
      <w:r>
        <w:t xml:space="preserve">The corporate risk register; </w:t>
      </w:r>
    </w:p>
    <w:p w:rsidR="00FD3A53" w:rsidP="00FD3A53" w14:paraId="073D7D61" w14:textId="77777777">
      <w:pPr>
        <w:pStyle w:val="ListParagraph"/>
        <w:numPr>
          <w:ilvl w:val="0"/>
          <w:numId w:val="19"/>
        </w:numPr>
      </w:pPr>
      <w:r>
        <w:t xml:space="preserve">Information taken from other assurance processes within, and external to, the Council, including External Audit and inspection reports; </w:t>
      </w:r>
    </w:p>
    <w:p w:rsidR="00FD3A53" w:rsidP="00FD3A53" w14:paraId="5CFFB586" w14:textId="77777777">
      <w:pPr>
        <w:pStyle w:val="ListParagraph"/>
        <w:numPr>
          <w:ilvl w:val="0"/>
          <w:numId w:val="19"/>
        </w:numPr>
      </w:pPr>
      <w:r>
        <w:t xml:space="preserve">Direct engagement with Directors; </w:t>
      </w:r>
    </w:p>
    <w:p w:rsidR="00FD3A53" w:rsidP="00FD3A53" w14:paraId="58E3B3DD" w14:textId="77777777">
      <w:pPr>
        <w:pStyle w:val="ListParagraph"/>
        <w:numPr>
          <w:ilvl w:val="0"/>
          <w:numId w:val="19"/>
        </w:numPr>
      </w:pPr>
      <w:r>
        <w:t xml:space="preserve">The skills, knowledge and experience of audit staff; </w:t>
      </w:r>
    </w:p>
    <w:p w:rsidR="00FD3A53" w:rsidP="00FD3A53" w14:paraId="32780B7D" w14:textId="77777777">
      <w:pPr>
        <w:pStyle w:val="ListParagraph"/>
        <w:numPr>
          <w:ilvl w:val="0"/>
          <w:numId w:val="19"/>
        </w:numPr>
      </w:pPr>
      <w:r>
        <w:t xml:space="preserve">Professional judgement on the risk of fraud and error; </w:t>
      </w:r>
    </w:p>
    <w:p w:rsidR="00FD3A53" w:rsidP="00FD3A53" w14:paraId="425D8AF5" w14:textId="77777777">
      <w:pPr>
        <w:pStyle w:val="ListParagraph"/>
        <w:numPr>
          <w:ilvl w:val="0"/>
          <w:numId w:val="19"/>
        </w:numPr>
      </w:pPr>
      <w:r>
        <w:t>Annual Governance Statement and Service Assurance Statements.</w:t>
      </w:r>
    </w:p>
    <w:p w:rsidR="00FD3A53" w:rsidRPr="00300B54" w:rsidP="00FD3A53" w14:paraId="19A8BCF6" w14:textId="77777777">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rsidR="00FD3A53" w:rsidRPr="00BF2405" w:rsidP="00FD3A53" w14:paraId="7965E8AE" w14:textId="034DE085">
      <w:pPr>
        <w:pStyle w:val="ListParagraph"/>
        <w:numPr>
          <w:ilvl w:val="0"/>
          <w:numId w:val="20"/>
        </w:numPr>
        <w:spacing w:line="240" w:lineRule="auto"/>
        <w:ind w:left="709" w:hanging="709"/>
        <w:rPr>
          <w:color w:val="000000"/>
        </w:rPr>
      </w:pPr>
      <w:r w:rsidRPr="00BF2405">
        <w:rPr>
          <w:bCs/>
        </w:rPr>
        <w:t>The Internal Audit Plan contains the programme of reviews for the period of April 2</w:t>
      </w:r>
      <w:r>
        <w:rPr>
          <w:bCs/>
        </w:rPr>
        <w:t>4</w:t>
      </w:r>
      <w:r w:rsidRPr="00BF2405">
        <w:rPr>
          <w:bCs/>
        </w:rPr>
        <w:t xml:space="preserve"> to September 2</w:t>
      </w:r>
      <w:r>
        <w:rPr>
          <w:bCs/>
        </w:rPr>
        <w:t>4</w:t>
      </w:r>
      <w:r w:rsidRPr="00BF2405">
        <w:rPr>
          <w:bCs/>
        </w:rPr>
        <w:t xml:space="preserve"> and is shown at </w:t>
      </w:r>
      <w:r w:rsidRPr="00BF2405">
        <w:rPr>
          <w:b/>
          <w:bCs/>
        </w:rPr>
        <w:t xml:space="preserve">Appendix A.  </w:t>
      </w:r>
      <w:r w:rsidRPr="00BF2405">
        <w:rPr>
          <w:color w:val="000000"/>
        </w:rPr>
        <w:t>This clearly shows the link between the work of Internal Audit, strategic and operational risks and corporate objectives.  The reviews are clearly highlighted with the quarter for completion.  The plan also details our involvement with key project teams assisting with advice and guidance on risk management, internal control and governance.</w:t>
      </w:r>
    </w:p>
    <w:p w:rsidR="00FD3A53" w:rsidRPr="00BF2405" w:rsidP="00FD3A53" w14:paraId="559C47B5" w14:textId="77777777">
      <w:pPr>
        <w:pStyle w:val="ListParagraph"/>
        <w:ind w:left="360"/>
        <w:rPr>
          <w:b/>
          <w:bCs/>
        </w:rPr>
      </w:pPr>
    </w:p>
    <w:p w:rsidR="00FD3A53" w:rsidP="00FD3A53" w14:paraId="6777C531" w14:textId="77777777">
      <w:pPr>
        <w:pBdr>
          <w:top w:val="single" w:sz="2" w:space="1" w:color="FFFFFF"/>
          <w:left w:val="single" w:sz="2" w:space="0" w:color="FFFFFF"/>
          <w:bottom w:val="single" w:sz="2" w:space="2" w:color="FFFFFF"/>
          <w:right w:val="single" w:sz="2" w:space="4" w:color="FFFFFF"/>
        </w:pBdr>
        <w:spacing w:after="0" w:line="240" w:lineRule="auto"/>
        <w:ind w:right="141"/>
        <w:jc w:val="both"/>
        <w:rPr>
          <w:b/>
          <w:bCs/>
        </w:rPr>
      </w:pPr>
      <w:r>
        <w:rPr>
          <w:b/>
          <w:bCs/>
        </w:rPr>
        <w:t xml:space="preserve">Internal Audit </w:t>
      </w:r>
      <w:r w:rsidRPr="006D455D">
        <w:rPr>
          <w:b/>
          <w:bCs/>
        </w:rPr>
        <w:t>Review</w:t>
      </w:r>
      <w:r>
        <w:rPr>
          <w:b/>
          <w:bCs/>
        </w:rPr>
        <w:t>s</w:t>
      </w:r>
      <w:r w:rsidRPr="006D455D">
        <w:rPr>
          <w:b/>
          <w:bCs/>
        </w:rPr>
        <w:t xml:space="preserve"> of </w:t>
      </w:r>
      <w:r>
        <w:rPr>
          <w:b/>
          <w:bCs/>
        </w:rPr>
        <w:t xml:space="preserve">South Ribble Leisure Limited </w:t>
      </w:r>
    </w:p>
    <w:p w:rsidR="00FD3A53" w:rsidP="00FD3A53" w14:paraId="78D4CBDA" w14:textId="77777777">
      <w:pPr>
        <w:pBdr>
          <w:top w:val="single" w:sz="2" w:space="1" w:color="FFFFFF"/>
          <w:left w:val="single" w:sz="2" w:space="0" w:color="FFFFFF"/>
          <w:bottom w:val="single" w:sz="2" w:space="2" w:color="FFFFFF"/>
          <w:right w:val="single" w:sz="2" w:space="4" w:color="FFFFFF"/>
        </w:pBdr>
        <w:spacing w:after="0" w:line="240" w:lineRule="auto"/>
        <w:ind w:right="141"/>
        <w:jc w:val="both"/>
        <w:rPr>
          <w:b/>
          <w:bCs/>
        </w:rPr>
      </w:pPr>
    </w:p>
    <w:p w:rsidR="00FD3A53" w:rsidRPr="00892B2B" w:rsidP="00FD3A53" w14:paraId="169D6F59" w14:textId="675AF5BB">
      <w:pPr>
        <w:pStyle w:val="ListParagraph"/>
        <w:numPr>
          <w:ilvl w:val="0"/>
          <w:numId w:val="20"/>
        </w:numPr>
        <w:pBdr>
          <w:top w:val="single" w:sz="2" w:space="1" w:color="FFFFFF"/>
          <w:left w:val="single" w:sz="2" w:space="0" w:color="FFFFFF"/>
          <w:bottom w:val="single" w:sz="2" w:space="2" w:color="FFFFFF"/>
          <w:right w:val="single" w:sz="2" w:space="4" w:color="FFFFFF"/>
        </w:pBdr>
        <w:spacing w:after="0" w:line="240" w:lineRule="auto"/>
        <w:ind w:left="709" w:right="141" w:hanging="709"/>
        <w:jc w:val="both"/>
        <w:rPr>
          <w:b/>
          <w:bCs/>
        </w:rPr>
      </w:pPr>
      <w:r>
        <w:t xml:space="preserve">It has again been agreed that the Internal Audit Service will provide </w:t>
      </w:r>
      <w:r w:rsidR="00593743">
        <w:t>75 a</w:t>
      </w:r>
      <w:r>
        <w:t>udit days to South Ribble Leisure Limited (SRLL).   Whilst the outcome of each audit review will be reported to the Board of the Directors, the Governance Committee will receive an annual opinion on the adequacy and effectiveness of the internal control, risk management and governance arrangements for SRLL.</w:t>
      </w:r>
    </w:p>
    <w:p w:rsidR="00FD3A53" w:rsidRPr="006D455D" w:rsidP="00FD3A53" w14:paraId="30C55444" w14:textId="77777777">
      <w:pPr>
        <w:pStyle w:val="ListParagraph"/>
        <w:pBdr>
          <w:top w:val="single" w:sz="2" w:space="1" w:color="FFFFFF"/>
          <w:left w:val="single" w:sz="2" w:space="0" w:color="FFFFFF"/>
          <w:bottom w:val="single" w:sz="2" w:space="2" w:color="FFFFFF"/>
          <w:right w:val="single" w:sz="2" w:space="4" w:color="FFFFFF"/>
        </w:pBdr>
        <w:spacing w:after="0" w:line="240" w:lineRule="auto"/>
        <w:ind w:left="502" w:right="141"/>
        <w:jc w:val="both"/>
        <w:rPr>
          <w:b/>
          <w:bCs/>
        </w:rPr>
      </w:pPr>
    </w:p>
    <w:p w:rsidR="00FD3A53" w:rsidP="00FD3A53" w14:paraId="1D3E919E" w14:textId="77777777">
      <w:pPr>
        <w:pStyle w:val="Heading2"/>
        <w:rPr>
          <w:rFonts w:asciiTheme="majorHAnsi" w:hAnsiTheme="majorHAnsi" w:cstheme="majorHAnsi"/>
          <w:szCs w:val="22"/>
        </w:rPr>
      </w:pPr>
      <w:r w:rsidRPr="002D5159">
        <w:rPr>
          <w:rFonts w:asciiTheme="majorHAnsi" w:hAnsiTheme="majorHAnsi" w:cstheme="majorHAnsi"/>
          <w:szCs w:val="22"/>
        </w:rPr>
        <w:t xml:space="preserve">Audit </w:t>
      </w:r>
      <w:r>
        <w:rPr>
          <w:rFonts w:asciiTheme="majorHAnsi" w:hAnsiTheme="majorHAnsi" w:cstheme="majorHAnsi"/>
          <w:szCs w:val="22"/>
        </w:rPr>
        <w:t>Resource</w:t>
      </w:r>
    </w:p>
    <w:p w:rsidR="00FD3A53" w:rsidRPr="002D5159" w:rsidP="00FD3A53" w14:paraId="046516DF" w14:textId="77777777">
      <w:pPr>
        <w:pStyle w:val="Heading2"/>
        <w:rPr>
          <w:rFonts w:asciiTheme="majorHAnsi" w:hAnsiTheme="majorHAnsi" w:cstheme="majorHAnsi"/>
          <w:szCs w:val="22"/>
          <w:lang w:eastAsia="en-US"/>
        </w:rPr>
      </w:pPr>
    </w:p>
    <w:p w:rsidR="00FD3A53" w:rsidP="00FD3A53" w14:paraId="352B0C87" w14:textId="4828E755">
      <w:pPr>
        <w:pStyle w:val="ListParagraph"/>
        <w:numPr>
          <w:ilvl w:val="0"/>
          <w:numId w:val="20"/>
        </w:numPr>
        <w:spacing w:line="240" w:lineRule="auto"/>
        <w:ind w:left="709" w:hanging="567"/>
        <w:rPr>
          <w:color w:val="000000"/>
          <w:sz w:val="23"/>
          <w:szCs w:val="23"/>
        </w:rPr>
      </w:pPr>
      <w:r w:rsidRPr="00BF2405">
        <w:rPr>
          <w:color w:val="000000"/>
        </w:rPr>
        <w:t>The plans for both the Council and SRLL will be completed solely by the in-house team with external support procured for the specialist ICT reviews.  Over the past 12 months, the Service</w:t>
      </w:r>
      <w:r>
        <w:rPr>
          <w:color w:val="000000"/>
        </w:rPr>
        <w:t xml:space="preserve"> profile has changed with the introduction of a further </w:t>
      </w:r>
      <w:r w:rsidRPr="00BF2405">
        <w:rPr>
          <w:color w:val="000000"/>
        </w:rPr>
        <w:t>Trainee Auditor post.   The current level of resource is detailed in the table below</w:t>
      </w:r>
      <w:r>
        <w:rPr>
          <w:color w:val="000000"/>
          <w:sz w:val="23"/>
          <w:szCs w:val="23"/>
        </w:rPr>
        <w:t xml:space="preserve">: </w:t>
      </w:r>
    </w:p>
    <w:p w:rsidR="00FD3A53" w:rsidP="00FD3A53" w14:paraId="4F8C74A1" w14:textId="77777777">
      <w:pPr>
        <w:pStyle w:val="ListParagraph"/>
        <w:spacing w:line="240" w:lineRule="auto"/>
        <w:ind w:left="502"/>
        <w:rPr>
          <w:color w:val="000000"/>
          <w:sz w:val="23"/>
          <w:szCs w:val="23"/>
        </w:rPr>
      </w:pPr>
    </w:p>
    <w:tbl>
      <w:tblPr>
        <w:tblStyle w:val="TableGrid"/>
        <w:tblW w:w="0" w:type="auto"/>
        <w:tblInd w:w="704" w:type="dxa"/>
        <w:tblLook w:val="04A0"/>
      </w:tblPr>
      <w:tblGrid>
        <w:gridCol w:w="3804"/>
        <w:gridCol w:w="4508"/>
      </w:tblGrid>
      <w:tr w14:paraId="6349AA27" w14:textId="77777777" w:rsidTr="004C5E3D">
        <w:tblPrEx>
          <w:tblW w:w="0" w:type="auto"/>
          <w:tblInd w:w="704" w:type="dxa"/>
          <w:tblLook w:val="04A0"/>
        </w:tblPrEx>
        <w:tc>
          <w:tcPr>
            <w:tcW w:w="3804" w:type="dxa"/>
          </w:tcPr>
          <w:p w:rsidR="00FD3A53" w:rsidP="004C5E3D" w14:paraId="5A63194E" w14:textId="0360AAB4">
            <w:pPr>
              <w:ind w:right="141"/>
              <w:jc w:val="both"/>
            </w:pPr>
            <w:r>
              <w:tab/>
              <w:t>Head of Audit and Risk</w:t>
            </w:r>
          </w:p>
        </w:tc>
        <w:tc>
          <w:tcPr>
            <w:tcW w:w="4508" w:type="dxa"/>
          </w:tcPr>
          <w:p w:rsidR="00FD3A53" w:rsidRPr="00B2642B" w:rsidP="004C5E3D" w14:paraId="26CEB6DB" w14:textId="77777777">
            <w:pPr>
              <w:ind w:right="141"/>
              <w:jc w:val="both"/>
            </w:pPr>
            <w:r w:rsidRPr="00B2642B">
              <w:t>0.6 FTE</w:t>
            </w:r>
          </w:p>
        </w:tc>
      </w:tr>
      <w:tr w14:paraId="53B9360A" w14:textId="77777777" w:rsidTr="004C5E3D">
        <w:tblPrEx>
          <w:tblW w:w="0" w:type="auto"/>
          <w:tblInd w:w="704" w:type="dxa"/>
          <w:tblLook w:val="04A0"/>
        </w:tblPrEx>
        <w:tc>
          <w:tcPr>
            <w:tcW w:w="3804" w:type="dxa"/>
          </w:tcPr>
          <w:p w:rsidR="00FD3A53" w:rsidP="004C5E3D" w14:paraId="1C1175A8" w14:textId="77777777">
            <w:pPr>
              <w:ind w:right="141"/>
              <w:jc w:val="both"/>
            </w:pPr>
            <w:r>
              <w:tab/>
              <w:t>Senior Auditor</w:t>
            </w:r>
          </w:p>
        </w:tc>
        <w:tc>
          <w:tcPr>
            <w:tcW w:w="4508" w:type="dxa"/>
          </w:tcPr>
          <w:p w:rsidR="00FD3A53" w:rsidRPr="00B2642B" w:rsidP="004C5E3D" w14:paraId="64DB7F8D" w14:textId="77777777">
            <w:pPr>
              <w:ind w:right="141"/>
              <w:jc w:val="both"/>
            </w:pPr>
            <w:r w:rsidRPr="00B2642B">
              <w:t>0.8 FTE</w:t>
            </w:r>
          </w:p>
        </w:tc>
      </w:tr>
      <w:tr w14:paraId="3EDB92CC" w14:textId="77777777" w:rsidTr="004C5E3D">
        <w:tblPrEx>
          <w:tblW w:w="0" w:type="auto"/>
          <w:tblInd w:w="704" w:type="dxa"/>
          <w:tblLook w:val="04A0"/>
        </w:tblPrEx>
        <w:tc>
          <w:tcPr>
            <w:tcW w:w="3804" w:type="dxa"/>
          </w:tcPr>
          <w:p w:rsidR="00FD3A53" w:rsidP="004C5E3D" w14:paraId="035AF41B" w14:textId="77777777">
            <w:pPr>
              <w:ind w:right="141"/>
              <w:jc w:val="both"/>
            </w:pPr>
            <w:r>
              <w:tab/>
              <w:t>Auditor</w:t>
            </w:r>
          </w:p>
        </w:tc>
        <w:tc>
          <w:tcPr>
            <w:tcW w:w="4508" w:type="dxa"/>
          </w:tcPr>
          <w:p w:rsidR="00FD3A53" w:rsidRPr="00B2642B" w:rsidP="004C5E3D" w14:paraId="53535473" w14:textId="17E85675">
            <w:pPr>
              <w:ind w:right="141"/>
              <w:jc w:val="both"/>
            </w:pPr>
            <w:r w:rsidRPr="00B2642B">
              <w:t>0.8 FTE</w:t>
            </w:r>
          </w:p>
        </w:tc>
      </w:tr>
      <w:tr w14:paraId="7994293B" w14:textId="77777777" w:rsidTr="004C5E3D">
        <w:tblPrEx>
          <w:tblW w:w="0" w:type="auto"/>
          <w:tblInd w:w="704" w:type="dxa"/>
          <w:tblLook w:val="04A0"/>
        </w:tblPrEx>
        <w:tc>
          <w:tcPr>
            <w:tcW w:w="3804" w:type="dxa"/>
          </w:tcPr>
          <w:p w:rsidR="00FD3A53" w:rsidP="004C5E3D" w14:paraId="089B7FD8" w14:textId="77777777">
            <w:pPr>
              <w:ind w:right="141"/>
              <w:jc w:val="both"/>
            </w:pPr>
            <w:r>
              <w:t xml:space="preserve">            Trainee Auditor</w:t>
            </w:r>
          </w:p>
        </w:tc>
        <w:tc>
          <w:tcPr>
            <w:tcW w:w="4508" w:type="dxa"/>
          </w:tcPr>
          <w:p w:rsidR="00FD3A53" w:rsidRPr="00B2642B" w:rsidP="004C5E3D" w14:paraId="50842BE1" w14:textId="40D99039">
            <w:pPr>
              <w:ind w:right="141"/>
              <w:jc w:val="both"/>
            </w:pPr>
            <w:r>
              <w:t>2 x FTE</w:t>
            </w:r>
          </w:p>
        </w:tc>
      </w:tr>
      <w:tr w14:paraId="32CB1A9F" w14:textId="77777777" w:rsidTr="004C5E3D">
        <w:tblPrEx>
          <w:tblW w:w="0" w:type="auto"/>
          <w:tblInd w:w="704" w:type="dxa"/>
          <w:tblLook w:val="04A0"/>
        </w:tblPrEx>
        <w:tc>
          <w:tcPr>
            <w:tcW w:w="3804" w:type="dxa"/>
          </w:tcPr>
          <w:p w:rsidR="00FD3A53" w:rsidP="004C5E3D" w14:paraId="43FEBC1D" w14:textId="77777777">
            <w:pPr>
              <w:ind w:right="141"/>
              <w:jc w:val="both"/>
            </w:pPr>
            <w:r>
              <w:tab/>
              <w:t>Bought in resource</w:t>
            </w:r>
          </w:p>
        </w:tc>
        <w:tc>
          <w:tcPr>
            <w:tcW w:w="4508" w:type="dxa"/>
          </w:tcPr>
          <w:p w:rsidR="00FD3A53" w:rsidRPr="00B2642B" w:rsidP="004C5E3D" w14:paraId="1E836BCB" w14:textId="77777777">
            <w:pPr>
              <w:ind w:right="141"/>
              <w:jc w:val="both"/>
            </w:pPr>
            <w:r w:rsidRPr="00B2642B">
              <w:t>30 days</w:t>
            </w:r>
          </w:p>
        </w:tc>
      </w:tr>
    </w:tbl>
    <w:p w:rsidR="00FD3A53" w:rsidP="00FD3A53" w14:paraId="34C9115E" w14:textId="77777777">
      <w:pPr>
        <w:pStyle w:val="Heading2"/>
        <w:rPr>
          <w:rFonts w:asciiTheme="majorHAnsi" w:hAnsiTheme="majorHAnsi" w:cstheme="majorHAnsi"/>
          <w:szCs w:val="22"/>
        </w:rPr>
      </w:pPr>
    </w:p>
    <w:p w:rsidR="00FD3A53" w:rsidP="00FD3A53" w14:paraId="20AC0131" w14:textId="77777777">
      <w:pPr>
        <w:pStyle w:val="Heading2"/>
        <w:rPr>
          <w:rFonts w:asciiTheme="majorHAnsi" w:hAnsiTheme="majorHAnsi" w:cstheme="majorHAnsi"/>
          <w:szCs w:val="22"/>
        </w:rPr>
      </w:pPr>
      <w:r w:rsidRPr="00A77C8F">
        <w:rPr>
          <w:rFonts w:asciiTheme="majorHAnsi" w:hAnsiTheme="majorHAnsi" w:cstheme="majorHAnsi"/>
          <w:szCs w:val="22"/>
        </w:rPr>
        <w:t>I</w:t>
      </w:r>
      <w:r>
        <w:rPr>
          <w:rFonts w:asciiTheme="majorHAnsi" w:hAnsiTheme="majorHAnsi" w:cstheme="majorHAnsi"/>
          <w:szCs w:val="22"/>
        </w:rPr>
        <w:t>nternal Audit Performance Indicators</w:t>
      </w:r>
    </w:p>
    <w:p w:rsidR="00FD3A53" w:rsidRPr="00A77C8F" w:rsidP="00FD3A53" w14:paraId="01B67791" w14:textId="77777777">
      <w:pPr>
        <w:pStyle w:val="Heading2"/>
        <w:rPr>
          <w:rFonts w:asciiTheme="majorHAnsi" w:hAnsiTheme="majorHAnsi" w:cstheme="majorHAnsi"/>
          <w:szCs w:val="22"/>
        </w:rPr>
      </w:pPr>
    </w:p>
    <w:p w:rsidR="00FD3A53" w:rsidP="00FD3A53" w14:paraId="5015A315" w14:textId="0F6123EC">
      <w:pPr>
        <w:pStyle w:val="ListParagraph"/>
        <w:numPr>
          <w:ilvl w:val="0"/>
          <w:numId w:val="20"/>
        </w:numPr>
        <w:autoSpaceDE w:val="0"/>
        <w:autoSpaceDN w:val="0"/>
        <w:adjustRightInd w:val="0"/>
        <w:spacing w:after="0" w:line="240" w:lineRule="auto"/>
        <w:ind w:left="709" w:hanging="709"/>
        <w:rPr>
          <w:rFonts w:cstheme="minorHAnsi"/>
        </w:rPr>
      </w:pPr>
      <w:r w:rsidRPr="00B2642B">
        <w:rPr>
          <w:rFonts w:cstheme="minorHAnsi"/>
        </w:rPr>
        <w:t>For the forthcoming period of April 2</w:t>
      </w:r>
      <w:r>
        <w:rPr>
          <w:rFonts w:cstheme="minorHAnsi"/>
        </w:rPr>
        <w:t>4</w:t>
      </w:r>
      <w:r w:rsidRPr="00B2642B">
        <w:rPr>
          <w:rFonts w:cstheme="minorHAnsi"/>
        </w:rPr>
        <w:t xml:space="preserve"> to March 2</w:t>
      </w:r>
      <w:r>
        <w:rPr>
          <w:rFonts w:cstheme="minorHAnsi"/>
        </w:rPr>
        <w:t>5</w:t>
      </w:r>
      <w:r w:rsidRPr="00B2642B">
        <w:rPr>
          <w:rFonts w:cstheme="minorHAnsi"/>
        </w:rPr>
        <w:t xml:space="preserve">, there is no change to the performance indicators or targets.  Progress will be monitored throughout the period and reported to the Governance Committee three time per year.  </w:t>
      </w:r>
    </w:p>
    <w:p w:rsidR="00FD3A53" w:rsidRPr="00B2642B" w:rsidP="00FD3A53" w14:paraId="691E3951" w14:textId="77777777">
      <w:pPr>
        <w:pStyle w:val="ListParagraph"/>
        <w:autoSpaceDE w:val="0"/>
        <w:autoSpaceDN w:val="0"/>
        <w:adjustRightInd w:val="0"/>
        <w:spacing w:after="0" w:line="240" w:lineRule="auto"/>
        <w:ind w:left="502"/>
        <w:rPr>
          <w:rFonts w:cstheme="minorHAnsi"/>
        </w:rPr>
      </w:pPr>
    </w:p>
    <w:p w:rsidR="00FD3A53" w:rsidRPr="00B2642B" w:rsidP="00FD3A53" w14:paraId="4789BD5B" w14:textId="77777777">
      <w:pPr>
        <w:autoSpaceDE w:val="0"/>
        <w:autoSpaceDN w:val="0"/>
        <w:adjustRightInd w:val="0"/>
        <w:spacing w:after="0" w:line="240" w:lineRule="auto"/>
        <w:rPr>
          <w:rFonts w:cstheme="minorHAnsi"/>
        </w:rPr>
      </w:pPr>
    </w:p>
    <w:tbl>
      <w:tblPr>
        <w:tblStyle w:val="TableGrid"/>
        <w:tblW w:w="0" w:type="auto"/>
        <w:tblInd w:w="846" w:type="dxa"/>
        <w:tblLook w:val="04A0"/>
      </w:tblPr>
      <w:tblGrid>
        <w:gridCol w:w="5953"/>
        <w:gridCol w:w="2127"/>
      </w:tblGrid>
      <w:tr w14:paraId="554D34F0" w14:textId="77777777" w:rsidTr="004C5E3D">
        <w:tblPrEx>
          <w:tblW w:w="0" w:type="auto"/>
          <w:tblInd w:w="846" w:type="dxa"/>
          <w:tblLook w:val="04A0"/>
        </w:tblPrEx>
        <w:tc>
          <w:tcPr>
            <w:tcW w:w="5953" w:type="dxa"/>
            <w:shd w:val="clear" w:color="auto" w:fill="B8CCE4" w:themeFill="accent1" w:themeFillTint="66"/>
          </w:tcPr>
          <w:p w:rsidR="00FD3A53" w:rsidRPr="00B2642B" w:rsidP="004C5E3D" w14:paraId="0A32193D" w14:textId="77777777">
            <w:pPr>
              <w:autoSpaceDE w:val="0"/>
              <w:autoSpaceDN w:val="0"/>
              <w:adjustRightInd w:val="0"/>
              <w:rPr>
                <w:rFonts w:cstheme="minorHAnsi"/>
                <w:b/>
                <w:bCs/>
              </w:rPr>
            </w:pPr>
            <w:r w:rsidRPr="00B2642B">
              <w:rPr>
                <w:rFonts w:cstheme="minorHAnsi"/>
                <w:b/>
                <w:bCs/>
              </w:rPr>
              <w:t>Performance Indicator</w:t>
            </w:r>
          </w:p>
        </w:tc>
        <w:tc>
          <w:tcPr>
            <w:tcW w:w="2127" w:type="dxa"/>
            <w:shd w:val="clear" w:color="auto" w:fill="B8CCE4" w:themeFill="accent1" w:themeFillTint="66"/>
          </w:tcPr>
          <w:p w:rsidR="00FD3A53" w:rsidRPr="00B2642B" w:rsidP="004C5E3D" w14:paraId="3EFEF015" w14:textId="77777777">
            <w:pPr>
              <w:autoSpaceDE w:val="0"/>
              <w:autoSpaceDN w:val="0"/>
              <w:adjustRightInd w:val="0"/>
              <w:rPr>
                <w:rFonts w:cstheme="minorHAnsi"/>
                <w:b/>
                <w:bCs/>
              </w:rPr>
            </w:pPr>
            <w:r w:rsidRPr="00B2642B">
              <w:rPr>
                <w:rFonts w:cstheme="minorHAnsi"/>
                <w:b/>
                <w:bCs/>
              </w:rPr>
              <w:t>Target</w:t>
            </w:r>
          </w:p>
        </w:tc>
      </w:tr>
      <w:tr w14:paraId="7E6FC7BE" w14:textId="77777777" w:rsidTr="004C5E3D">
        <w:tblPrEx>
          <w:tblW w:w="0" w:type="auto"/>
          <w:tblInd w:w="846" w:type="dxa"/>
          <w:tblLook w:val="04A0"/>
        </w:tblPrEx>
        <w:tc>
          <w:tcPr>
            <w:tcW w:w="5953" w:type="dxa"/>
          </w:tcPr>
          <w:p w:rsidR="00FD3A53" w:rsidRPr="00B2642B" w:rsidP="004C5E3D" w14:paraId="0DF4B6D4" w14:textId="77777777">
            <w:pPr>
              <w:autoSpaceDE w:val="0"/>
              <w:autoSpaceDN w:val="0"/>
              <w:adjustRightInd w:val="0"/>
              <w:rPr>
                <w:rFonts w:cstheme="minorHAnsi"/>
              </w:rPr>
            </w:pPr>
            <w:r w:rsidRPr="00B2642B">
              <w:rPr>
                <w:rFonts w:cstheme="minorHAnsi"/>
              </w:rPr>
              <w:t xml:space="preserve">% of Planned time used </w:t>
            </w:r>
          </w:p>
        </w:tc>
        <w:tc>
          <w:tcPr>
            <w:tcW w:w="2127" w:type="dxa"/>
          </w:tcPr>
          <w:p w:rsidR="00FD3A53" w:rsidRPr="00B2642B" w:rsidP="004C5E3D" w14:paraId="00169C1D" w14:textId="77777777">
            <w:pPr>
              <w:autoSpaceDE w:val="0"/>
              <w:autoSpaceDN w:val="0"/>
              <w:adjustRightInd w:val="0"/>
              <w:rPr>
                <w:rFonts w:cstheme="minorHAnsi"/>
              </w:rPr>
            </w:pPr>
            <w:r w:rsidRPr="00B2642B">
              <w:rPr>
                <w:rFonts w:cstheme="minorHAnsi"/>
              </w:rPr>
              <w:t>90%</w:t>
            </w:r>
          </w:p>
        </w:tc>
      </w:tr>
      <w:tr w14:paraId="1B41DE72" w14:textId="77777777" w:rsidTr="004C5E3D">
        <w:tblPrEx>
          <w:tblW w:w="0" w:type="auto"/>
          <w:tblInd w:w="846" w:type="dxa"/>
          <w:tblLook w:val="04A0"/>
        </w:tblPrEx>
        <w:tc>
          <w:tcPr>
            <w:tcW w:w="5953" w:type="dxa"/>
          </w:tcPr>
          <w:p w:rsidR="00FD3A53" w:rsidRPr="00B2642B" w:rsidP="004C5E3D" w14:paraId="214EC19B" w14:textId="77777777">
            <w:pPr>
              <w:autoSpaceDE w:val="0"/>
              <w:autoSpaceDN w:val="0"/>
              <w:adjustRightInd w:val="0"/>
              <w:rPr>
                <w:rFonts w:cstheme="minorHAnsi"/>
              </w:rPr>
            </w:pPr>
            <w:r w:rsidRPr="00B2642B">
              <w:rPr>
                <w:rFonts w:cstheme="minorHAnsi"/>
              </w:rPr>
              <w:t xml:space="preserve">% of Audit Plan completed </w:t>
            </w:r>
          </w:p>
        </w:tc>
        <w:tc>
          <w:tcPr>
            <w:tcW w:w="2127" w:type="dxa"/>
          </w:tcPr>
          <w:p w:rsidR="00FD3A53" w:rsidRPr="00B2642B" w:rsidP="004C5E3D" w14:paraId="6566290E" w14:textId="77777777">
            <w:pPr>
              <w:autoSpaceDE w:val="0"/>
              <w:autoSpaceDN w:val="0"/>
              <w:adjustRightInd w:val="0"/>
              <w:rPr>
                <w:rFonts w:cstheme="minorHAnsi"/>
              </w:rPr>
            </w:pPr>
            <w:r w:rsidRPr="00B2642B">
              <w:rPr>
                <w:rFonts w:cstheme="minorHAnsi"/>
              </w:rPr>
              <w:t>90%</w:t>
            </w:r>
          </w:p>
        </w:tc>
      </w:tr>
      <w:tr w14:paraId="026DDCE0" w14:textId="77777777" w:rsidTr="004C5E3D">
        <w:tblPrEx>
          <w:tblW w:w="0" w:type="auto"/>
          <w:tblInd w:w="846" w:type="dxa"/>
          <w:tblLook w:val="04A0"/>
        </w:tblPrEx>
        <w:tc>
          <w:tcPr>
            <w:tcW w:w="5953" w:type="dxa"/>
          </w:tcPr>
          <w:p w:rsidR="00FD3A53" w:rsidRPr="00B2642B" w:rsidP="004C5E3D" w14:paraId="48FF8585" w14:textId="77777777">
            <w:pPr>
              <w:autoSpaceDE w:val="0"/>
              <w:autoSpaceDN w:val="0"/>
              <w:adjustRightInd w:val="0"/>
              <w:rPr>
                <w:rFonts w:cstheme="minorHAnsi"/>
              </w:rPr>
            </w:pPr>
            <w:r w:rsidRPr="00B2642B">
              <w:rPr>
                <w:rFonts w:cstheme="minorHAnsi"/>
              </w:rPr>
              <w:t>% satisfaction rating (assignment level)</w:t>
            </w:r>
          </w:p>
        </w:tc>
        <w:tc>
          <w:tcPr>
            <w:tcW w:w="2127" w:type="dxa"/>
          </w:tcPr>
          <w:p w:rsidR="00FD3A53" w:rsidRPr="00B2642B" w:rsidP="004C5E3D" w14:paraId="0DB20B72" w14:textId="77777777">
            <w:pPr>
              <w:autoSpaceDE w:val="0"/>
              <w:autoSpaceDN w:val="0"/>
              <w:adjustRightInd w:val="0"/>
              <w:rPr>
                <w:rFonts w:cstheme="minorHAnsi"/>
              </w:rPr>
            </w:pPr>
            <w:r w:rsidRPr="00B2642B">
              <w:rPr>
                <w:rFonts w:cstheme="minorHAnsi"/>
              </w:rPr>
              <w:t>90%</w:t>
            </w:r>
          </w:p>
        </w:tc>
      </w:tr>
      <w:tr w14:paraId="32E012D5" w14:textId="77777777" w:rsidTr="004C5E3D">
        <w:tblPrEx>
          <w:tblW w:w="0" w:type="auto"/>
          <w:tblInd w:w="846" w:type="dxa"/>
          <w:tblLook w:val="04A0"/>
        </w:tblPrEx>
        <w:tc>
          <w:tcPr>
            <w:tcW w:w="5953" w:type="dxa"/>
          </w:tcPr>
          <w:p w:rsidR="00FD3A53" w:rsidRPr="00B2642B" w:rsidP="004C5E3D" w14:paraId="4BBF234A" w14:textId="77777777">
            <w:pPr>
              <w:autoSpaceDE w:val="0"/>
              <w:autoSpaceDN w:val="0"/>
              <w:adjustRightInd w:val="0"/>
              <w:rPr>
                <w:rFonts w:cstheme="minorHAnsi"/>
              </w:rPr>
            </w:pPr>
            <w:r w:rsidRPr="00B2642B">
              <w:rPr>
                <w:rFonts w:cstheme="minorHAnsi"/>
              </w:rPr>
              <w:t>% of agreed actions implemented by management</w:t>
            </w:r>
          </w:p>
        </w:tc>
        <w:tc>
          <w:tcPr>
            <w:tcW w:w="2127" w:type="dxa"/>
          </w:tcPr>
          <w:p w:rsidR="00FD3A53" w:rsidRPr="00B2642B" w:rsidP="004C5E3D" w14:paraId="7EB9A446" w14:textId="77777777">
            <w:pPr>
              <w:autoSpaceDE w:val="0"/>
              <w:autoSpaceDN w:val="0"/>
              <w:adjustRightInd w:val="0"/>
              <w:rPr>
                <w:rFonts w:cstheme="minorHAnsi"/>
              </w:rPr>
            </w:pPr>
            <w:r w:rsidRPr="00B2642B">
              <w:rPr>
                <w:rFonts w:cstheme="minorHAnsi"/>
              </w:rPr>
              <w:t>90%</w:t>
            </w:r>
          </w:p>
        </w:tc>
      </w:tr>
    </w:tbl>
    <w:p w:rsidR="00FD3A53" w:rsidRPr="0059293C" w:rsidP="00FD3A53" w14:paraId="593F4387" w14:textId="77777777">
      <w:pPr>
        <w:autoSpaceDE w:val="0"/>
        <w:autoSpaceDN w:val="0"/>
        <w:adjustRightInd w:val="0"/>
        <w:spacing w:after="0" w:line="240" w:lineRule="auto"/>
        <w:rPr>
          <w:rFonts w:cstheme="minorHAnsi"/>
          <w:color w:val="FF0000"/>
        </w:rPr>
      </w:pPr>
    </w:p>
    <w:p w:rsidR="00FD3A53" w:rsidRPr="0059293C" w:rsidP="00FD3A53" w14:paraId="6B0E7D30" w14:textId="77777777">
      <w:pPr>
        <w:autoSpaceDE w:val="0"/>
        <w:autoSpaceDN w:val="0"/>
        <w:adjustRightInd w:val="0"/>
        <w:spacing w:after="0" w:line="240" w:lineRule="auto"/>
        <w:rPr>
          <w:rFonts w:cstheme="minorHAnsi"/>
          <w:b/>
          <w:bCs/>
          <w:color w:val="FF0000"/>
        </w:rPr>
      </w:pPr>
    </w:p>
    <w:p w:rsidR="00FD3A53" w:rsidP="00FD3A53" w14:paraId="25E590E7" w14:textId="54757ED4">
      <w:pPr>
        <w:pStyle w:val="Heading2"/>
        <w:rPr>
          <w:rFonts w:asciiTheme="majorHAnsi" w:hAnsiTheme="majorHAnsi" w:cstheme="majorHAnsi"/>
          <w:szCs w:val="22"/>
        </w:rPr>
      </w:pPr>
      <w:r>
        <w:rPr>
          <w:rFonts w:asciiTheme="majorHAnsi" w:hAnsiTheme="majorHAnsi" w:cstheme="majorHAnsi"/>
          <w:szCs w:val="22"/>
        </w:rPr>
        <w:t xml:space="preserve">Progress against the 23-24 </w:t>
      </w:r>
      <w:r w:rsidRPr="00A77C8F">
        <w:rPr>
          <w:rFonts w:asciiTheme="majorHAnsi" w:hAnsiTheme="majorHAnsi" w:cstheme="majorHAnsi"/>
          <w:szCs w:val="22"/>
        </w:rPr>
        <w:t>I</w:t>
      </w:r>
      <w:r>
        <w:rPr>
          <w:rFonts w:asciiTheme="majorHAnsi" w:hAnsiTheme="majorHAnsi" w:cstheme="majorHAnsi"/>
          <w:szCs w:val="22"/>
        </w:rPr>
        <w:t xml:space="preserve">nternal Audit Plan </w:t>
      </w:r>
    </w:p>
    <w:p w:rsidR="00FD3A53" w:rsidP="00FD3A53" w14:paraId="72F4A822" w14:textId="77777777">
      <w:pPr>
        <w:pStyle w:val="Heading2"/>
      </w:pPr>
    </w:p>
    <w:p w:rsidR="00FD3A53" w:rsidP="00FD3A53" w14:paraId="2EE325BA" w14:textId="77777777">
      <w:pPr>
        <w:pStyle w:val="Heading2"/>
      </w:pPr>
    </w:p>
    <w:p w:rsidR="00FD3A53" w:rsidRPr="00EF6E8A" w:rsidP="00FD3A53" w14:paraId="5B2B1055" w14:textId="40052DE0">
      <w:pPr>
        <w:pStyle w:val="ListParagraph"/>
        <w:numPr>
          <w:ilvl w:val="0"/>
          <w:numId w:val="21"/>
        </w:numPr>
        <w:ind w:hanging="720"/>
        <w:rPr>
          <w:color w:val="FF0000"/>
        </w:rPr>
      </w:pPr>
      <w:r w:rsidRPr="00593743">
        <w:t>Since our last progress report to the Committee in January 202</w:t>
      </w:r>
      <w:r w:rsidR="0094183B">
        <w:t>4</w:t>
      </w:r>
      <w:r w:rsidRPr="00593743">
        <w:t xml:space="preserve">, </w:t>
      </w:r>
      <w:r w:rsidR="0094183B">
        <w:t xml:space="preserve">the Internal Audit Review of Community Infrastructure Levy </w:t>
      </w:r>
      <w:r w:rsidRPr="00593743">
        <w:t xml:space="preserve">has been completed.   This received a limited assurance rating and a full copy of the report is attached at Appendix B.  Given the significance of the findings, we agreed action dates with a </w:t>
      </w:r>
      <w:r w:rsidR="00593743">
        <w:t xml:space="preserve">relatively </w:t>
      </w:r>
      <w:r w:rsidRPr="00593743">
        <w:t>short timescale</w:t>
      </w:r>
      <w:r w:rsidRPr="00593743" w:rsidR="00593743">
        <w:t xml:space="preserve">.  </w:t>
      </w:r>
      <w:r w:rsidRPr="00593743">
        <w:t>   </w:t>
      </w:r>
    </w:p>
    <w:p w:rsidR="00FD3A53" w:rsidP="00FD3A53" w14:paraId="1E1E7CD3" w14:textId="77777777">
      <w:pPr>
        <w:pStyle w:val="Heading2"/>
      </w:pPr>
    </w:p>
    <w:p w:rsidR="00FD3A53" w:rsidRPr="008C37E1" w:rsidP="00FD3A53" w14:paraId="12A76C5E" w14:textId="77777777">
      <w:pPr>
        <w:pStyle w:val="Heading2"/>
      </w:pPr>
      <w:r w:rsidRPr="008C37E1">
        <w:t>Climate change and air quality</w:t>
      </w:r>
    </w:p>
    <w:p w:rsidR="00FD3A53" w:rsidRPr="00E06F2E" w:rsidP="00FD3A53" w14:paraId="3BF51117" w14:textId="77777777">
      <w:pPr>
        <w:tabs>
          <w:tab w:val="left" w:pos="567"/>
        </w:tabs>
        <w:spacing w:after="0" w:line="240" w:lineRule="auto"/>
        <w:ind w:right="-284"/>
        <w:rPr>
          <w:rFonts w:ascii="Arial" w:eastAsia="Times New Roman" w:hAnsi="Arial" w:cs="Arial"/>
          <w:lang w:eastAsia="en-GB"/>
        </w:rPr>
      </w:pPr>
    </w:p>
    <w:p w:rsidR="00FD3A53" w:rsidRPr="000A28C9" w:rsidP="00FD3A53" w14:paraId="439D6903" w14:textId="77777777">
      <w:pPr>
        <w:pStyle w:val="ListParagraph"/>
        <w:numPr>
          <w:ilvl w:val="0"/>
          <w:numId w:val="22"/>
        </w:numPr>
        <w:spacing w:after="0" w:line="240" w:lineRule="auto"/>
        <w:ind w:hanging="786"/>
        <w:rPr>
          <w:rFonts w:ascii="Arial" w:hAnsi="Arial" w:cs="Arial"/>
          <w:lang w:eastAsia="en-GB"/>
        </w:rPr>
      </w:pPr>
      <w:r w:rsidRPr="00E06F2E">
        <w:t>The work noted in this report does not impact the climate change and sustainability targets of the Councils Green Agenda and all environmental considerations are in place</w:t>
      </w:r>
      <w:r>
        <w:t xml:space="preserve">. </w:t>
      </w:r>
    </w:p>
    <w:p w:rsidR="00FD3A53" w:rsidRPr="002F4B61" w:rsidP="00FD3A53" w14:paraId="08D260C6" w14:textId="77777777">
      <w:pPr>
        <w:pStyle w:val="ListParagraph"/>
        <w:spacing w:after="0" w:line="240" w:lineRule="auto"/>
        <w:ind w:left="567"/>
        <w:rPr>
          <w:rFonts w:ascii="Arial" w:hAnsi="Arial" w:cs="Arial"/>
          <w:lang w:eastAsia="en-GB"/>
        </w:rPr>
      </w:pPr>
    </w:p>
    <w:p w:rsidR="00FD3A53" w:rsidP="00FD3A53" w14:paraId="09D746C1" w14:textId="77777777">
      <w:pPr>
        <w:pStyle w:val="Heading2"/>
      </w:pPr>
    </w:p>
    <w:p w:rsidR="00593743" w:rsidP="00FD3A53" w14:paraId="21C7D42D" w14:textId="77777777">
      <w:pPr>
        <w:pStyle w:val="Heading2"/>
      </w:pPr>
    </w:p>
    <w:p w:rsidR="00593743" w:rsidP="00FD3A53" w14:paraId="0E044A79" w14:textId="77777777">
      <w:pPr>
        <w:pStyle w:val="Heading2"/>
      </w:pPr>
    </w:p>
    <w:p w:rsidR="00593743" w:rsidP="00FD3A53" w14:paraId="6CA0FB77" w14:textId="77777777">
      <w:pPr>
        <w:pStyle w:val="Heading2"/>
      </w:pPr>
    </w:p>
    <w:p w:rsidR="00593743" w:rsidP="00FD3A53" w14:paraId="704CD762" w14:textId="77777777">
      <w:pPr>
        <w:pStyle w:val="Heading2"/>
      </w:pPr>
    </w:p>
    <w:p w:rsidR="00FD3A53" w:rsidRPr="008C37E1" w:rsidP="00FD3A53" w14:paraId="16D96C81" w14:textId="76DBFB83">
      <w:pPr>
        <w:pStyle w:val="Heading2"/>
      </w:pPr>
      <w:r w:rsidRPr="008C37E1">
        <w:t>Equality and diversity</w:t>
      </w:r>
    </w:p>
    <w:p w:rsidR="00FD3A53" w:rsidRPr="00ED4FF1" w:rsidP="00FD3A53" w14:paraId="2E245CC4" w14:textId="77777777">
      <w:pPr>
        <w:spacing w:after="0"/>
      </w:pPr>
    </w:p>
    <w:p w:rsidR="00FD3A53" w:rsidRPr="000A28C9" w:rsidP="00FD3A53" w14:paraId="4407A51E" w14:textId="77777777">
      <w:pPr>
        <w:pStyle w:val="ListParagraph"/>
        <w:numPr>
          <w:ilvl w:val="0"/>
          <w:numId w:val="22"/>
        </w:numPr>
        <w:spacing w:after="0"/>
        <w:ind w:left="709" w:hanging="709"/>
        <w:rPr>
          <w:rFonts w:cstheme="minorHAnsi"/>
          <w:iCs/>
        </w:rPr>
      </w:pPr>
      <w:r w:rsidRPr="000A28C9">
        <w:rPr>
          <w:rFonts w:cstheme="minorHAnsi"/>
          <w:bCs/>
          <w:iCs/>
        </w:rPr>
        <w:t xml:space="preserve">The material presented and discussed in this report has no direct implications on equality and diversity. </w:t>
      </w:r>
      <w:r w:rsidRPr="00584159">
        <w:t xml:space="preserve"> </w:t>
      </w:r>
    </w:p>
    <w:p w:rsidR="00FD3A53" w:rsidP="00FD3A53" w14:paraId="74564889" w14:textId="77777777">
      <w:pPr>
        <w:pStyle w:val="Heading2"/>
      </w:pPr>
    </w:p>
    <w:p w:rsidR="00FD3A53" w:rsidRPr="008C37E1" w:rsidP="00FD3A53" w14:paraId="2D29AB67" w14:textId="77777777">
      <w:pPr>
        <w:pStyle w:val="Heading2"/>
      </w:pPr>
      <w:r w:rsidRPr="008C37E1">
        <w:t>Risk</w:t>
      </w:r>
    </w:p>
    <w:p w:rsidR="00FD3A53" w:rsidRPr="004758E2" w:rsidP="00FD3A53" w14:paraId="32A15D2B" w14:textId="77777777">
      <w:pPr>
        <w:pStyle w:val="Heading2"/>
        <w:numPr>
          <w:ilvl w:val="0"/>
          <w:numId w:val="22"/>
        </w:numPr>
        <w:spacing w:before="100" w:beforeAutospacing="1" w:after="100" w:afterAutospacing="1"/>
        <w:ind w:left="709" w:hanging="786"/>
        <w:rPr>
          <w:rFonts w:asciiTheme="majorHAnsi" w:hAnsiTheme="majorHAnsi" w:cstheme="majorHAnsi"/>
          <w:b w:val="0"/>
          <w:bCs w:val="0"/>
          <w:szCs w:val="22"/>
        </w:rPr>
      </w:pPr>
      <w:r>
        <w:rPr>
          <w:rFonts w:asciiTheme="majorHAnsi" w:hAnsiTheme="majorHAnsi" w:cstheme="majorHAnsi"/>
          <w:b w:val="0"/>
          <w:bCs w:val="0"/>
          <w:szCs w:val="22"/>
        </w:rPr>
        <w:t>Risks are outlined through the body of the report.</w:t>
      </w:r>
    </w:p>
    <w:p w:rsidR="00FD3A53" w:rsidP="00FD3A53" w14:paraId="738010C9" w14:textId="77777777">
      <w:pPr>
        <w:pStyle w:val="Heading2"/>
      </w:pPr>
      <w:r w:rsidRPr="008C37E1">
        <w:t>Comments of the Statutory Finance Officer</w:t>
      </w:r>
    </w:p>
    <w:p w:rsidR="00FD3A53" w:rsidRPr="008C37E1" w:rsidP="00FD3A53" w14:paraId="1310EAE1" w14:textId="77777777">
      <w:pPr>
        <w:spacing w:after="0"/>
      </w:pPr>
    </w:p>
    <w:p w:rsidR="00FD3A53" w:rsidRPr="00883AC9" w:rsidP="00FD3A53" w14:paraId="0B0F76F5" w14:textId="77777777">
      <w:pPr>
        <w:numPr>
          <w:ilvl w:val="0"/>
          <w:numId w:val="22"/>
        </w:numPr>
        <w:spacing w:after="0" w:line="240" w:lineRule="auto"/>
        <w:ind w:left="709" w:hanging="709"/>
        <w:jc w:val="both"/>
        <w:rPr>
          <w:rFonts w:cstheme="minorHAnsi"/>
          <w:bCs/>
          <w:iCs/>
        </w:rPr>
      </w:pPr>
      <w:r>
        <w:rPr>
          <w:rFonts w:cstheme="minorHAnsi"/>
          <w:bCs/>
          <w:iCs/>
        </w:rPr>
        <w:t>No comments</w:t>
      </w:r>
      <w:r w:rsidRPr="00883AC9">
        <w:rPr>
          <w:rFonts w:cstheme="minorHAnsi"/>
          <w:bCs/>
          <w:iCs/>
        </w:rPr>
        <w:t>.</w:t>
      </w:r>
    </w:p>
    <w:p w:rsidR="00FD3A53" w:rsidRPr="00D4431F" w:rsidP="00FD3A53" w14:paraId="6B5357D6" w14:textId="77777777">
      <w:pPr>
        <w:spacing w:after="0" w:line="240" w:lineRule="auto"/>
        <w:jc w:val="both"/>
        <w:rPr>
          <w:rFonts w:cstheme="minorHAnsi"/>
          <w:bCs/>
        </w:rPr>
      </w:pPr>
    </w:p>
    <w:p w:rsidR="00FD3A53" w:rsidP="00FD3A53" w14:paraId="775DADD7" w14:textId="77777777">
      <w:pPr>
        <w:pStyle w:val="Heading2"/>
      </w:pPr>
      <w:r w:rsidRPr="008C37E1">
        <w:t>Comments of the Monitoring Officer</w:t>
      </w:r>
    </w:p>
    <w:p w:rsidR="00FD3A53" w:rsidRPr="008C37E1" w:rsidP="00FD3A53" w14:paraId="5FE3101B" w14:textId="77777777">
      <w:pPr>
        <w:spacing w:after="0"/>
      </w:pPr>
    </w:p>
    <w:p w:rsidR="00FD3A53" w:rsidRPr="00883AC9" w:rsidP="00FD3A53" w14:paraId="24EDD784" w14:textId="77777777">
      <w:pPr>
        <w:numPr>
          <w:ilvl w:val="0"/>
          <w:numId w:val="22"/>
        </w:numPr>
        <w:spacing w:after="0" w:line="240" w:lineRule="auto"/>
        <w:ind w:left="709" w:hanging="709"/>
        <w:jc w:val="both"/>
        <w:rPr>
          <w:rFonts w:cstheme="minorHAnsi"/>
          <w:bCs/>
          <w:iCs/>
        </w:rPr>
      </w:pPr>
      <w:r>
        <w:rPr>
          <w:rFonts w:cstheme="minorHAnsi"/>
          <w:bCs/>
          <w:iCs/>
        </w:rPr>
        <w:t xml:space="preserve">No comments. </w:t>
      </w:r>
      <w:r w:rsidRPr="00883AC9">
        <w:rPr>
          <w:rFonts w:cstheme="minorHAnsi"/>
          <w:bCs/>
          <w:iCs/>
        </w:rPr>
        <w:t xml:space="preserve"> </w:t>
      </w:r>
    </w:p>
    <w:p w:rsidR="00D1305C" w:rsidRPr="002F1805" w:rsidP="006D56BC" w14:paraId="6DCF9827" w14:textId="77777777">
      <w:pPr>
        <w:spacing w:after="0"/>
      </w:pPr>
    </w:p>
    <w:p w:rsidR="006D56BC" w:rsidP="006B7CC3" w14:paraId="23A7AC7B" w14:textId="77777777">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rsidR="006D56BC" w:rsidP="006D56BC" w14:paraId="35350CD9" w14:textId="77777777">
      <w:pPr>
        <w:spacing w:after="0" w:line="20" w:lineRule="atLeast"/>
        <w:rPr>
          <w:lang w:eastAsia="en-GB"/>
        </w:rPr>
      </w:pPr>
    </w:p>
    <w:p w:rsidR="00D1305C" w:rsidP="006D56BC" w14:paraId="033FA6B0" w14:textId="51E3F787">
      <w:pPr>
        <w:spacing w:after="0" w:line="20" w:lineRule="atLeast"/>
        <w:rPr>
          <w:lang w:eastAsia="en-GB"/>
        </w:rPr>
      </w:pPr>
      <w:r w:rsidRPr="009A514D">
        <w:rPr>
          <w:lang w:eastAsia="en-GB"/>
        </w:rPr>
        <w:t>There are no background papers to this report</w:t>
      </w:r>
      <w:r w:rsidR="006D56BC">
        <w:rPr>
          <w:lang w:eastAsia="en-GB"/>
        </w:rPr>
        <w:t xml:space="preserve">.  </w:t>
      </w:r>
    </w:p>
    <w:p w:rsidR="002F1805" w:rsidRPr="002F1805" w:rsidP="006D56BC" w14:paraId="6E67DCA6" w14:textId="77777777">
      <w:pPr>
        <w:spacing w:after="0"/>
      </w:pPr>
    </w:p>
    <w:p w:rsidR="00D1305C" w:rsidRPr="008C37E1" w:rsidP="006D56BC" w14:paraId="48097988" w14:textId="7EA4E180">
      <w:pPr>
        <w:pStyle w:val="Heading2"/>
      </w:pPr>
      <w:r w:rsidRPr="008C37E1">
        <w:t xml:space="preserve">Appendices </w:t>
      </w:r>
    </w:p>
    <w:p w:rsidR="002F1805" w:rsidRPr="002F1805" w:rsidP="006D56BC" w14:paraId="14435535" w14:textId="77777777">
      <w:pPr>
        <w:spacing w:after="20" w:line="240" w:lineRule="auto"/>
      </w:pPr>
    </w:p>
    <w:p w:rsidR="00D1305C" w:rsidRPr="00883AC9" w:rsidP="006D56BC" w14:paraId="22D86499" w14:textId="5323ED35">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Pr>
          <w:rFonts w:eastAsia="Times New Roman"/>
          <w:iCs/>
          <w:color w:val="000000" w:themeColor="text1"/>
          <w:kern w:val="36"/>
          <w:lang w:eastAsia="en-GB"/>
        </w:rPr>
        <w:t xml:space="preserve"> – Internal Audit Plan April to September 2024</w:t>
      </w:r>
    </w:p>
    <w:p w:rsidR="00D1305C" w:rsidRPr="00593743" w:rsidP="00B35119" w14:paraId="629805FD" w14:textId="0A33EB9A">
      <w:pPr>
        <w:spacing w:after="20" w:line="240" w:lineRule="auto"/>
        <w:rPr>
          <w:rFonts w:eastAsia="Times New Roman"/>
          <w:iCs/>
          <w:kern w:val="36"/>
          <w:lang w:eastAsia="en-GB"/>
        </w:rPr>
      </w:pPr>
      <w:r w:rsidRPr="00593743">
        <w:rPr>
          <w:rFonts w:eastAsia="Times New Roman"/>
          <w:iCs/>
          <w:kern w:val="36"/>
          <w:lang w:eastAsia="en-GB"/>
        </w:rPr>
        <w:t xml:space="preserve">Appendix B </w:t>
      </w:r>
      <w:r w:rsidRPr="00593743" w:rsidR="00593743">
        <w:rPr>
          <w:rFonts w:eastAsia="Times New Roman"/>
          <w:iCs/>
          <w:kern w:val="36"/>
          <w:lang w:eastAsia="en-GB"/>
        </w:rPr>
        <w:t xml:space="preserve"> - Internal Audit </w:t>
      </w:r>
      <w:r w:rsidR="0094183B">
        <w:rPr>
          <w:rFonts w:eastAsia="Times New Roman"/>
          <w:iCs/>
          <w:kern w:val="36"/>
          <w:lang w:eastAsia="en-GB"/>
        </w:rPr>
        <w:t>R</w:t>
      </w:r>
      <w:r w:rsidRPr="00593743" w:rsidR="00593743">
        <w:rPr>
          <w:rFonts w:eastAsia="Times New Roman"/>
          <w:iCs/>
          <w:kern w:val="36"/>
          <w:lang w:eastAsia="en-GB"/>
        </w:rPr>
        <w:t>eview of Community Infrastructure Levy</w:t>
      </w:r>
    </w:p>
    <w:p w:rsidR="00D1305C" w:rsidRPr="00B35119" w:rsidP="006D56BC" w14:paraId="7D2AB4E4" w14:textId="77777777">
      <w:pPr>
        <w:spacing w:after="20" w:line="240" w:lineRule="auto"/>
        <w:rPr>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3534"/>
        <w:gridCol w:w="1562"/>
        <w:gridCol w:w="1109"/>
      </w:tblGrid>
      <w:tr w14:paraId="342F19D2" w14:textId="77777777" w:rsidTr="008D541D">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45" w:type="dxa"/>
            <w:shd w:val="clear" w:color="auto" w:fill="auto"/>
          </w:tcPr>
          <w:p w:rsidR="00D1305C" w:rsidRPr="00D1305C" w:rsidP="00D1305C" w14:paraId="6A6A83F0"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rsidR="00D1305C" w:rsidRPr="00D1305C" w:rsidP="00D1305C" w14:paraId="13548ACC"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rsidR="00D1305C" w:rsidRPr="00D1305C" w:rsidP="00D1305C" w14:paraId="2D5D6A36"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rsidR="00D1305C" w:rsidRPr="00D1305C" w:rsidP="00D1305C" w14:paraId="73C052A3"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14:paraId="79B87AE3" w14:textId="77777777" w:rsidTr="008D541D">
        <w:tblPrEx>
          <w:tblW w:w="0" w:type="auto"/>
          <w:tblInd w:w="-5" w:type="dxa"/>
          <w:tblLook w:val="04A0"/>
        </w:tblPrEx>
        <w:tc>
          <w:tcPr>
            <w:tcW w:w="3645" w:type="dxa"/>
            <w:shd w:val="clear" w:color="auto" w:fill="auto"/>
          </w:tcPr>
          <w:p w:rsidR="00D1305C" w:rsidRPr="00D1305C" w:rsidP="00EF0D35" w14:paraId="0DFE68A1" w14:textId="77777777">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rsidR="00D1305C" w:rsidRPr="00D1305C" w:rsidP="00EF0D35" w14:paraId="7400AC12" w14:textId="0576476E">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rsidR="00D1305C" w:rsidRPr="00D1305C" w:rsidP="00EF0D35" w14:paraId="58D62899" w14:textId="73DAA214">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01772625625</w:t>
            </w:r>
            <w:r w:rsidR="00B35119">
              <w:rPr>
                <w:rFonts w:eastAsia="Times New Roman" w:cstheme="minorHAnsi"/>
                <w:bCs/>
                <w:color w:val="000000" w:themeColor="text1"/>
                <w:kern w:val="36"/>
                <w:lang w:eastAsia="en-GB"/>
              </w:rPr>
              <w:fldChar w:fldCharType="begin"/>
            </w:r>
            <w:r w:rsidR="00B35119">
              <w:rPr>
                <w:rFonts w:eastAsia="Times New Roman" w:cstheme="minorHAnsi"/>
                <w:bCs/>
                <w:color w:val="000000" w:themeColor="text1"/>
                <w:kern w:val="36"/>
                <w:lang w:eastAsia="en-GB"/>
              </w:rPr>
              <w:instrText xml:space="preserve"> DOCPROPERTY  LeadOfficerTel  \* MERGEFORMAT </w:instrText>
            </w:r>
            <w:r>
              <w:rPr>
                <w:rFonts w:eastAsia="Times New Roman" w:cstheme="minorHAnsi"/>
                <w:bCs/>
                <w:color w:val="000000" w:themeColor="text1"/>
                <w:kern w:val="36"/>
                <w:lang w:eastAsia="en-GB"/>
              </w:rPr>
              <w:fldChar w:fldCharType="separate"/>
            </w:r>
            <w:r w:rsidR="00B35119">
              <w:rPr>
                <w:rFonts w:eastAsia="Times New Roman" w:cstheme="minorHAnsi"/>
                <w:bCs/>
                <w:color w:val="000000" w:themeColor="text1"/>
                <w:kern w:val="36"/>
                <w:lang w:eastAsia="en-GB"/>
              </w:rPr>
              <w:fldChar w:fldCharType="end"/>
            </w:r>
          </w:p>
        </w:tc>
        <w:tc>
          <w:tcPr>
            <w:tcW w:w="1180" w:type="dxa"/>
            <w:shd w:val="clear" w:color="auto" w:fill="auto"/>
          </w:tcPr>
          <w:p w:rsidR="00D1305C" w:rsidRPr="00D1305C" w:rsidP="00EF0D35" w14:paraId="2AE04B60" w14:textId="56697468">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13.3.24</w:t>
            </w:r>
          </w:p>
        </w:tc>
      </w:tr>
    </w:tbl>
    <w:p w:rsidR="0025620C" w:rsidRPr="00A95452" w:rsidP="006D56BC" w14:paraId="4E3FB662" w14:textId="41C03C7F">
      <w:pPr>
        <w:spacing w:after="0" w:line="240" w:lineRule="auto"/>
      </w:pPr>
    </w:p>
    <w:sectPr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55318B"/>
    <w:multiLevelType w:val="hybridMultilevel"/>
    <w:tmpl w:val="BA2EF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8250D9"/>
    <w:multiLevelType w:val="hybridMultilevel"/>
    <w:tmpl w:val="FE2EAFBE"/>
    <w:lvl w:ilvl="0">
      <w:start w:val="6"/>
      <w:numFmt w:val="decimal"/>
      <w:lvlText w:val="%1."/>
      <w:lvlJc w:val="left"/>
      <w:pPr>
        <w:ind w:left="502" w:hanging="360"/>
      </w:pPr>
      <w:rPr>
        <w:rFonts w:asciiTheme="minorHAnsi" w:hAnsiTheme="minorHAnsi" w:cstheme="minorHAnsi" w:hint="default"/>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E07F12"/>
    <w:multiLevelType w:val="hybridMultilevel"/>
    <w:tmpl w:val="D2C8DB10"/>
    <w:lvl w:ilvl="0">
      <w:start w:val="0"/>
      <w:numFmt w:val="bullet"/>
      <w:lvlText w:val="-"/>
      <w:lvlJc w:val="left"/>
      <w:pPr>
        <w:ind w:left="420" w:hanging="360"/>
      </w:pPr>
      <w:rPr>
        <w:rFonts w:ascii="Arial" w:eastAsia="Times New Roman" w:hAnsi="Arial" w:cs="Arial"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3">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C264BE2"/>
    <w:multiLevelType w:val="hybridMultilevel"/>
    <w:tmpl w:val="E0466D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364410"/>
    <w:multiLevelType w:val="hybridMultilevel"/>
    <w:tmpl w:val="D9B0D984"/>
    <w:lvl w:ilvl="0">
      <w:start w:val="1"/>
      <w:numFmt w:val="bullet"/>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7">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4CC44717"/>
    <w:multiLevelType w:val="hybridMultilevel"/>
    <w:tmpl w:val="063CA8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8730561"/>
    <w:multiLevelType w:val="hybridMultilevel"/>
    <w:tmpl w:val="0FDE3A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E03EA3"/>
    <w:multiLevelType w:val="hybridMultilevel"/>
    <w:tmpl w:val="7F0C52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9024463"/>
    <w:multiLevelType w:val="hybridMultilevel"/>
    <w:tmpl w:val="DF185582"/>
    <w:lvl w:ilvl="0">
      <w:start w:val="15"/>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69A516D"/>
    <w:multiLevelType w:val="multilevel"/>
    <w:tmpl w:val="95B47DF6"/>
    <w:lvl w:ilvl="0">
      <w:start w:val="1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9">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FCA43E8"/>
    <w:multiLevelType w:val="hybridMultilevel"/>
    <w:tmpl w:val="DE9A5830"/>
    <w:lvl w:ilvl="0">
      <w:start w:val="1"/>
      <w:numFmt w:val="decimal"/>
      <w:lvlText w:val="%1."/>
      <w:lvlJc w:val="left"/>
      <w:pPr>
        <w:ind w:left="502" w:hanging="360"/>
      </w:pPr>
      <w:rPr>
        <w:rFonts w:asciiTheme="minorHAnsi" w:hAnsiTheme="minorHAnsi" w:cstheme="minorHAnsi" w:hint="default"/>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54799031">
    <w:abstractNumId w:val="19"/>
  </w:num>
  <w:num w:numId="2" w16cid:durableId="1939287988">
    <w:abstractNumId w:val="16"/>
  </w:num>
  <w:num w:numId="3" w16cid:durableId="348024951">
    <w:abstractNumId w:val="11"/>
  </w:num>
  <w:num w:numId="4" w16cid:durableId="1794402200">
    <w:abstractNumId w:val="14"/>
  </w:num>
  <w:num w:numId="5" w16cid:durableId="1676760092">
    <w:abstractNumId w:val="9"/>
  </w:num>
  <w:num w:numId="6" w16cid:durableId="1941135901">
    <w:abstractNumId w:val="3"/>
  </w:num>
  <w:num w:numId="7" w16cid:durableId="1131243940">
    <w:abstractNumId w:val="4"/>
  </w:num>
  <w:num w:numId="8" w16cid:durableId="1293902020">
    <w:abstractNumId w:val="13"/>
  </w:num>
  <w:num w:numId="9" w16cid:durableId="1174803896">
    <w:abstractNumId w:val="20"/>
  </w:num>
  <w:num w:numId="10" w16cid:durableId="607157558">
    <w:abstractNumId w:val="18"/>
  </w:num>
  <w:num w:numId="11" w16cid:durableId="2036928007">
    <w:abstractNumId w:val="7"/>
  </w:num>
  <w:num w:numId="12" w16cid:durableId="620692052">
    <w:abstractNumId w:val="8"/>
  </w:num>
  <w:num w:numId="13" w16cid:durableId="1048839787">
    <w:abstractNumId w:val="0"/>
  </w:num>
  <w:num w:numId="14" w16cid:durableId="110170761">
    <w:abstractNumId w:val="12"/>
  </w:num>
  <w:num w:numId="15" w16cid:durableId="180408034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1680436">
    <w:abstractNumId w:val="10"/>
  </w:num>
  <w:num w:numId="17" w16cid:durableId="2142724641">
    <w:abstractNumId w:val="5"/>
  </w:num>
  <w:num w:numId="18" w16cid:durableId="242229785">
    <w:abstractNumId w:val="21"/>
  </w:num>
  <w:num w:numId="19" w16cid:durableId="1530951168">
    <w:abstractNumId w:val="6"/>
  </w:num>
  <w:num w:numId="20" w16cid:durableId="171997582">
    <w:abstractNumId w:val="1"/>
  </w:num>
  <w:num w:numId="21" w16cid:durableId="2067799916">
    <w:abstractNumId w:val="15"/>
  </w:num>
  <w:num w:numId="22" w16cid:durableId="684987753">
    <w:abstractNumId w:val="17"/>
  </w:num>
  <w:num w:numId="23" w16cid:durableId="875583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081E"/>
    <w:rsid w:val="000A28C9"/>
    <w:rsid w:val="000A672E"/>
    <w:rsid w:val="000F750D"/>
    <w:rsid w:val="000F75CB"/>
    <w:rsid w:val="001131F5"/>
    <w:rsid w:val="00126587"/>
    <w:rsid w:val="00163649"/>
    <w:rsid w:val="001C6ED7"/>
    <w:rsid w:val="001D3B9C"/>
    <w:rsid w:val="001F7768"/>
    <w:rsid w:val="00210AEC"/>
    <w:rsid w:val="00224B8E"/>
    <w:rsid w:val="0025620C"/>
    <w:rsid w:val="00273876"/>
    <w:rsid w:val="00282A51"/>
    <w:rsid w:val="00284855"/>
    <w:rsid w:val="002A0009"/>
    <w:rsid w:val="002A5BA0"/>
    <w:rsid w:val="002C4DAB"/>
    <w:rsid w:val="002D5159"/>
    <w:rsid w:val="002F06A9"/>
    <w:rsid w:val="002F1805"/>
    <w:rsid w:val="002F4B61"/>
    <w:rsid w:val="00300B54"/>
    <w:rsid w:val="0032368D"/>
    <w:rsid w:val="00336107"/>
    <w:rsid w:val="00351879"/>
    <w:rsid w:val="00367901"/>
    <w:rsid w:val="00380522"/>
    <w:rsid w:val="003806F9"/>
    <w:rsid w:val="003B02F5"/>
    <w:rsid w:val="003E3722"/>
    <w:rsid w:val="003E3AB0"/>
    <w:rsid w:val="003F64E2"/>
    <w:rsid w:val="003F68E4"/>
    <w:rsid w:val="00402D18"/>
    <w:rsid w:val="0041722B"/>
    <w:rsid w:val="00457821"/>
    <w:rsid w:val="00465B5C"/>
    <w:rsid w:val="004758E2"/>
    <w:rsid w:val="00483CC4"/>
    <w:rsid w:val="00490A28"/>
    <w:rsid w:val="0049437A"/>
    <w:rsid w:val="004C5E3D"/>
    <w:rsid w:val="00510168"/>
    <w:rsid w:val="00522E7D"/>
    <w:rsid w:val="00542184"/>
    <w:rsid w:val="005629DD"/>
    <w:rsid w:val="00576DC5"/>
    <w:rsid w:val="00584159"/>
    <w:rsid w:val="0059293C"/>
    <w:rsid w:val="00593743"/>
    <w:rsid w:val="005C5465"/>
    <w:rsid w:val="005E7794"/>
    <w:rsid w:val="00613634"/>
    <w:rsid w:val="00613EC1"/>
    <w:rsid w:val="00617525"/>
    <w:rsid w:val="00627A92"/>
    <w:rsid w:val="00641609"/>
    <w:rsid w:val="00643408"/>
    <w:rsid w:val="006A7267"/>
    <w:rsid w:val="006B1C4D"/>
    <w:rsid w:val="006B62C4"/>
    <w:rsid w:val="006B7CC3"/>
    <w:rsid w:val="006D455D"/>
    <w:rsid w:val="006D56BC"/>
    <w:rsid w:val="006F27C3"/>
    <w:rsid w:val="00706128"/>
    <w:rsid w:val="00711FAB"/>
    <w:rsid w:val="0073542D"/>
    <w:rsid w:val="00737971"/>
    <w:rsid w:val="007637E9"/>
    <w:rsid w:val="00774BC4"/>
    <w:rsid w:val="0078549D"/>
    <w:rsid w:val="007948D6"/>
    <w:rsid w:val="007C7E3E"/>
    <w:rsid w:val="007E4570"/>
    <w:rsid w:val="007E4749"/>
    <w:rsid w:val="00802E59"/>
    <w:rsid w:val="00804F02"/>
    <w:rsid w:val="00812062"/>
    <w:rsid w:val="00845312"/>
    <w:rsid w:val="0085583E"/>
    <w:rsid w:val="00857BD9"/>
    <w:rsid w:val="00883AC9"/>
    <w:rsid w:val="00892B2B"/>
    <w:rsid w:val="008A4C2F"/>
    <w:rsid w:val="008B2D37"/>
    <w:rsid w:val="008C37E1"/>
    <w:rsid w:val="008D541D"/>
    <w:rsid w:val="008F13BA"/>
    <w:rsid w:val="009157BD"/>
    <w:rsid w:val="0094183B"/>
    <w:rsid w:val="009472CD"/>
    <w:rsid w:val="00947881"/>
    <w:rsid w:val="00957931"/>
    <w:rsid w:val="00974AB3"/>
    <w:rsid w:val="009A018E"/>
    <w:rsid w:val="009A514D"/>
    <w:rsid w:val="009C1604"/>
    <w:rsid w:val="009D625C"/>
    <w:rsid w:val="00A0164F"/>
    <w:rsid w:val="00A356DB"/>
    <w:rsid w:val="00A42F8D"/>
    <w:rsid w:val="00A47DF8"/>
    <w:rsid w:val="00A67766"/>
    <w:rsid w:val="00A77C8F"/>
    <w:rsid w:val="00A851F7"/>
    <w:rsid w:val="00A95452"/>
    <w:rsid w:val="00A964C7"/>
    <w:rsid w:val="00B0500A"/>
    <w:rsid w:val="00B2642B"/>
    <w:rsid w:val="00B35119"/>
    <w:rsid w:val="00B85F3A"/>
    <w:rsid w:val="00B8772E"/>
    <w:rsid w:val="00B95697"/>
    <w:rsid w:val="00BA2420"/>
    <w:rsid w:val="00BC25D4"/>
    <w:rsid w:val="00BC3CC9"/>
    <w:rsid w:val="00BE1920"/>
    <w:rsid w:val="00BE5BEB"/>
    <w:rsid w:val="00BE77AB"/>
    <w:rsid w:val="00BF2405"/>
    <w:rsid w:val="00C03CA4"/>
    <w:rsid w:val="00C3676B"/>
    <w:rsid w:val="00CD4005"/>
    <w:rsid w:val="00CF622A"/>
    <w:rsid w:val="00D0369E"/>
    <w:rsid w:val="00D1305C"/>
    <w:rsid w:val="00D32AFE"/>
    <w:rsid w:val="00D4431F"/>
    <w:rsid w:val="00DF59D9"/>
    <w:rsid w:val="00DF7476"/>
    <w:rsid w:val="00E05F7E"/>
    <w:rsid w:val="00E06F2E"/>
    <w:rsid w:val="00E10BF8"/>
    <w:rsid w:val="00E53D73"/>
    <w:rsid w:val="00E709F7"/>
    <w:rsid w:val="00E75510"/>
    <w:rsid w:val="00E811D7"/>
    <w:rsid w:val="00E87F45"/>
    <w:rsid w:val="00E963B8"/>
    <w:rsid w:val="00EC0007"/>
    <w:rsid w:val="00ED3333"/>
    <w:rsid w:val="00ED4FF1"/>
    <w:rsid w:val="00EF0D35"/>
    <w:rsid w:val="00EF6E8A"/>
    <w:rsid w:val="00F26C7F"/>
    <w:rsid w:val="00F37B00"/>
    <w:rsid w:val="00F60644"/>
    <w:rsid w:val="00F70D72"/>
    <w:rsid w:val="00F929C3"/>
    <w:rsid w:val="00F967A2"/>
    <w:rsid w:val="00F97987"/>
    <w:rsid w:val="00FB2F2E"/>
    <w:rsid w:val="00FB3074"/>
    <w:rsid w:val="00FC5CFD"/>
    <w:rsid w:val="00FD3A53"/>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hAnsi="Arial" w:eastAsiaTheme="majorEastAsia"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hAnsi="Arial" w:eastAsiaTheme="majorEastAsia"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11</cp:revision>
  <cp:lastPrinted>2014-03-21T13:56:00Z</cp:lastPrinted>
  <dcterms:created xsi:type="dcterms:W3CDTF">2023-02-10T11:37:00Z</dcterms:created>
  <dcterms:modified xsi:type="dcterms:W3CDTF">2024-03-13T19:18:00Z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Plan April to September 2024</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26 March 2024</vt:lpwstr>
  </property>
  <property fmtid="{D5CDD505-2E9C-101B-9397-08002B2CF9AE}" pid="11" name="MSIP_Label_f96679a5-570c-40a6-a557-668bc9231a44_ActionId">
    <vt:lpwstr>2f303e94-c548-4e01-a0f7-b17ae053570f</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2024-02-12T21:46:41Z</vt:lpwstr>
  </property>
  <property fmtid="{D5CDD505-2E9C-101B-9397-08002B2CF9AE}" pid="17" name="MSIP_Label_f96679a5-570c-40a6-a557-668bc9231a44_SiteId">
    <vt:lpwstr>20f96ace-1eb4-4e2b-bd81-aabea267ccfb</vt:lpwstr>
  </property>
</Properties>
</file>